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BBF" w14:textId="740EEC4C" w:rsidR="00F309DA" w:rsidRPr="002325D1" w:rsidRDefault="00E83A97" w:rsidP="0005446C">
      <w:pPr>
        <w:tabs>
          <w:tab w:val="left" w:pos="2488"/>
        </w:tabs>
        <w:spacing w:before="69"/>
        <w:ind w:left="62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325D1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eastAsia="zh-TW"/>
        </w:rPr>
        <w:t>1</w:t>
      </w:r>
      <w:r w:rsidR="00826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TW"/>
        </w:rPr>
        <w:t>10</w:t>
      </w:r>
      <w:r w:rsidR="002C307E" w:rsidRPr="002325D1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eastAsia="zh-TW"/>
        </w:rPr>
        <w:t>-</w:t>
      </w:r>
      <w:r w:rsidR="00826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TW"/>
        </w:rPr>
        <w:t>2</w:t>
      </w:r>
      <w:r w:rsidR="002C307E" w:rsidRPr="002325D1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eastAsia="zh-TW"/>
        </w:rPr>
        <w:t xml:space="preserve"> </w:t>
      </w:r>
      <w:r w:rsidR="008265DC" w:rsidRPr="008265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Neuroimmunology </w:t>
      </w:r>
      <w:r w:rsidR="008265D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TW"/>
        </w:rPr>
        <w:t>神經免疫</w:t>
      </w:r>
      <w:r w:rsidRPr="002325D1">
        <w:rPr>
          <w:rFonts w:ascii="標楷體" w:eastAsia="標楷體" w:hAnsi="標楷體" w:cs="Arial"/>
          <w:b/>
          <w:bCs/>
          <w:color w:val="000000" w:themeColor="text1"/>
          <w:kern w:val="36"/>
          <w:sz w:val="28"/>
          <w:szCs w:val="28"/>
        </w:rPr>
        <w:t>學</w:t>
      </w:r>
    </w:p>
    <w:p w14:paraId="413808D3" w14:textId="3BD18975" w:rsidR="00E83A97" w:rsidRPr="002325D1" w:rsidRDefault="00E83A97" w:rsidP="0005446C">
      <w:pPr>
        <w:pStyle w:val="BodyText"/>
        <w:tabs>
          <w:tab w:val="left" w:pos="3652"/>
        </w:tabs>
        <w:spacing w:before="11" w:line="350" w:lineRule="atLeast"/>
        <w:ind w:leftChars="45" w:left="99" w:right="1003"/>
        <w:rPr>
          <w:rFonts w:cs="Times New Roman"/>
          <w:color w:val="000000" w:themeColor="text1"/>
          <w:sz w:val="24"/>
          <w:szCs w:val="24"/>
        </w:rPr>
      </w:pPr>
      <w:r w:rsidRPr="002325D1">
        <w:rPr>
          <w:rFonts w:cs="Times New Roman"/>
          <w:color w:val="000000" w:themeColor="text1"/>
          <w:spacing w:val="-1"/>
          <w:sz w:val="24"/>
          <w:szCs w:val="24"/>
        </w:rPr>
        <w:t>Cl</w:t>
      </w:r>
      <w:r w:rsidRPr="002325D1">
        <w:rPr>
          <w:rFonts w:cs="Times New Roman"/>
          <w:color w:val="000000" w:themeColor="text1"/>
          <w:sz w:val="24"/>
          <w:szCs w:val="24"/>
        </w:rPr>
        <w:t>ass</w:t>
      </w:r>
      <w:r w:rsidRPr="002325D1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8"/>
          <w:sz w:val="24"/>
          <w:szCs w:val="24"/>
        </w:rPr>
        <w:t>T</w:t>
      </w:r>
      <w:r w:rsidRPr="002325D1">
        <w:rPr>
          <w:rFonts w:cs="Times New Roman"/>
          <w:color w:val="000000" w:themeColor="text1"/>
          <w:sz w:val="24"/>
          <w:szCs w:val="24"/>
        </w:rPr>
        <w:t>i</w:t>
      </w:r>
      <w:r w:rsidRPr="002325D1">
        <w:rPr>
          <w:rFonts w:cs="Times New Roman"/>
          <w:color w:val="000000" w:themeColor="text1"/>
          <w:spacing w:val="-3"/>
          <w:sz w:val="24"/>
          <w:szCs w:val="24"/>
        </w:rPr>
        <w:t>m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e</w:t>
      </w:r>
      <w:r w:rsidRPr="002325D1">
        <w:rPr>
          <w:rFonts w:cs="Times New Roman"/>
          <w:color w:val="000000" w:themeColor="text1"/>
          <w:sz w:val="24"/>
          <w:szCs w:val="24"/>
        </w:rPr>
        <w:t>:</w:t>
      </w:r>
      <w:r w:rsidR="0005446C" w:rsidRPr="002325D1">
        <w:rPr>
          <w:rFonts w:asciiTheme="minorEastAsia" w:eastAsiaTheme="minorEastAsia" w:hAnsiTheme="minorEastAsia" w:cs="Times New Roman" w:hint="eastAsia"/>
          <w:color w:val="000000" w:themeColor="text1"/>
          <w:spacing w:val="-16"/>
          <w:sz w:val="24"/>
          <w:szCs w:val="24"/>
          <w:lang w:eastAsia="zh-TW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1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:</w:t>
      </w:r>
      <w:r w:rsidRPr="002325D1">
        <w:rPr>
          <w:rFonts w:cs="Times New Roman"/>
          <w:color w:val="000000" w:themeColor="text1"/>
          <w:sz w:val="24"/>
          <w:szCs w:val="24"/>
        </w:rPr>
        <w:t>10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~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="008265DC">
        <w:rPr>
          <w:rFonts w:cs="Times New Roman"/>
          <w:color w:val="000000" w:themeColor="text1"/>
          <w:sz w:val="24"/>
          <w:szCs w:val="24"/>
        </w:rPr>
        <w:t>3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:0</w:t>
      </w:r>
      <w:r w:rsidRPr="002325D1">
        <w:rPr>
          <w:rFonts w:cs="Times New Roman"/>
          <w:color w:val="000000" w:themeColor="text1"/>
          <w:sz w:val="24"/>
          <w:szCs w:val="24"/>
        </w:rPr>
        <w:t>0</w:t>
      </w:r>
      <w:r w:rsidRPr="002325D1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PM</w:t>
      </w:r>
      <w:r w:rsidR="0005446C" w:rsidRPr="002325D1">
        <w:rPr>
          <w:rFonts w:cs="Times New Roman"/>
          <w:color w:val="000000" w:themeColor="text1"/>
          <w:sz w:val="24"/>
          <w:szCs w:val="24"/>
        </w:rPr>
        <w:t xml:space="preserve">, </w:t>
      </w:r>
      <w:r w:rsidR="008265DC">
        <w:rPr>
          <w:rFonts w:cs="Times New Roman"/>
          <w:color w:val="000000" w:themeColor="text1"/>
          <w:sz w:val="24"/>
          <w:szCs w:val="24"/>
        </w:rPr>
        <w:t>Monday</w:t>
      </w:r>
    </w:p>
    <w:p w14:paraId="1DB769B6" w14:textId="58A8C800" w:rsidR="00696984" w:rsidRPr="002325D1" w:rsidRDefault="00E83A97" w:rsidP="0005446C">
      <w:pPr>
        <w:pStyle w:val="BodyText"/>
        <w:tabs>
          <w:tab w:val="left" w:pos="3612"/>
        </w:tabs>
        <w:spacing w:before="48" w:line="178" w:lineRule="auto"/>
        <w:ind w:right="1852"/>
        <w:rPr>
          <w:rFonts w:eastAsiaTheme="minorEastAsia" w:cs="Times New Roman"/>
          <w:color w:val="000000" w:themeColor="text1"/>
          <w:sz w:val="24"/>
          <w:szCs w:val="24"/>
          <w:lang w:eastAsia="zh-TW"/>
        </w:rPr>
      </w:pPr>
      <w:r w:rsidRPr="002325D1">
        <w:rPr>
          <w:rFonts w:cs="Times New Roman"/>
          <w:color w:val="000000" w:themeColor="text1"/>
          <w:spacing w:val="-1"/>
          <w:sz w:val="24"/>
          <w:szCs w:val="24"/>
        </w:rPr>
        <w:t>Cl</w:t>
      </w:r>
      <w:r w:rsidRPr="002325D1">
        <w:rPr>
          <w:rFonts w:cs="Times New Roman"/>
          <w:color w:val="000000" w:themeColor="text1"/>
          <w:sz w:val="24"/>
          <w:szCs w:val="24"/>
        </w:rPr>
        <w:t>assr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pacing w:val="-3"/>
          <w:sz w:val="24"/>
          <w:szCs w:val="24"/>
        </w:rPr>
        <w:t>m</w:t>
      </w:r>
      <w:r w:rsidR="0005446C" w:rsidRPr="002325D1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  <w:lang w:eastAsia="zh-TW"/>
        </w:rPr>
        <w:t xml:space="preserve">: </w:t>
      </w:r>
      <w:r w:rsidRPr="002325D1">
        <w:rPr>
          <w:rFonts w:cs="Times New Roman"/>
          <w:color w:val="000000" w:themeColor="text1"/>
          <w:sz w:val="24"/>
          <w:szCs w:val="24"/>
        </w:rPr>
        <w:t>Rm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="008265DC">
        <w:rPr>
          <w:rFonts w:cs="Times New Roman"/>
          <w:color w:val="000000" w:themeColor="text1"/>
          <w:sz w:val="24"/>
          <w:szCs w:val="24"/>
        </w:rPr>
        <w:t>5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0</w:t>
      </w:r>
      <w:r w:rsidR="008265DC">
        <w:rPr>
          <w:rFonts w:cs="Times New Roman"/>
          <w:color w:val="000000" w:themeColor="text1"/>
          <w:sz w:val="24"/>
          <w:szCs w:val="24"/>
        </w:rPr>
        <w:t>1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 at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N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C</w:t>
      </w:r>
      <w:r w:rsidRPr="002325D1">
        <w:rPr>
          <w:rFonts w:cs="Times New Roman"/>
          <w:color w:val="000000" w:themeColor="text1"/>
          <w:sz w:val="24"/>
          <w:szCs w:val="24"/>
        </w:rPr>
        <w:t>KU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Me</w:t>
      </w:r>
      <w:r w:rsidRPr="002325D1">
        <w:rPr>
          <w:rFonts w:cs="Times New Roman"/>
          <w:color w:val="000000" w:themeColor="text1"/>
          <w:sz w:val="24"/>
          <w:szCs w:val="24"/>
        </w:rPr>
        <w:t>d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i</w:t>
      </w:r>
      <w:r w:rsidRPr="002325D1">
        <w:rPr>
          <w:rFonts w:cs="Times New Roman"/>
          <w:color w:val="000000" w:themeColor="text1"/>
          <w:sz w:val="24"/>
          <w:szCs w:val="24"/>
        </w:rPr>
        <w:t>cal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C</w:t>
      </w:r>
      <w:r w:rsidRPr="002325D1">
        <w:rPr>
          <w:rFonts w:cs="Times New Roman"/>
          <w:color w:val="000000" w:themeColor="text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lle</w:t>
      </w:r>
      <w:r w:rsidRPr="002325D1">
        <w:rPr>
          <w:rFonts w:cs="Times New Roman"/>
          <w:color w:val="000000" w:themeColor="text1"/>
          <w:sz w:val="24"/>
          <w:szCs w:val="24"/>
        </w:rPr>
        <w:t>ge</w:t>
      </w:r>
    </w:p>
    <w:p w14:paraId="205F238A" w14:textId="3BFACEC7" w:rsidR="005F57B8" w:rsidRPr="002325D1" w:rsidRDefault="00E83A97" w:rsidP="0005446C">
      <w:pPr>
        <w:pStyle w:val="BodyText"/>
        <w:tabs>
          <w:tab w:val="left" w:pos="3612"/>
        </w:tabs>
        <w:spacing w:before="48" w:line="178" w:lineRule="auto"/>
        <w:ind w:right="1852"/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</w:pPr>
      <w:r w:rsidRPr="002325D1">
        <w:rPr>
          <w:rFonts w:cs="Times New Roman"/>
          <w:color w:val="000000" w:themeColor="text1"/>
          <w:spacing w:val="-1"/>
          <w:sz w:val="24"/>
          <w:szCs w:val="24"/>
        </w:rPr>
        <w:t>C</w:t>
      </w:r>
      <w:r w:rsidRPr="002325D1">
        <w:rPr>
          <w:rFonts w:cs="Times New Roman"/>
          <w:color w:val="000000" w:themeColor="text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z w:val="24"/>
          <w:szCs w:val="24"/>
        </w:rPr>
        <w:t>rd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i</w:t>
      </w:r>
      <w:r w:rsidRPr="002325D1">
        <w:rPr>
          <w:rFonts w:cs="Times New Roman"/>
          <w:color w:val="000000" w:themeColor="text1"/>
          <w:sz w:val="24"/>
          <w:szCs w:val="24"/>
        </w:rPr>
        <w:t>na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to</w:t>
      </w:r>
      <w:r w:rsidRPr="002325D1">
        <w:rPr>
          <w:rFonts w:cs="Times New Roman"/>
          <w:color w:val="000000" w:themeColor="text1"/>
          <w:sz w:val="24"/>
          <w:szCs w:val="24"/>
        </w:rPr>
        <w:t>r:</w:t>
      </w:r>
      <w:r w:rsidR="0005446C" w:rsidRPr="002325D1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8265DC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朱俊憲</w:t>
      </w:r>
      <w:r w:rsidR="00153A90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Pr="002325D1">
        <w:rPr>
          <w:rFonts w:eastAsia="標楷體" w:cs="Times New Roman"/>
          <w:color w:val="000000" w:themeColor="text1"/>
          <w:spacing w:val="-2"/>
          <w:sz w:val="24"/>
          <w:szCs w:val="24"/>
        </w:rPr>
        <w:t>老</w:t>
      </w:r>
      <w:r w:rsidRPr="002325D1">
        <w:rPr>
          <w:rFonts w:eastAsia="標楷體" w:cs="Times New Roman"/>
          <w:color w:val="000000" w:themeColor="text1"/>
          <w:sz w:val="24"/>
          <w:szCs w:val="24"/>
        </w:rPr>
        <w:t>師</w:t>
      </w:r>
      <w:r w:rsidRPr="002325D1">
        <w:rPr>
          <w:rFonts w:eastAsia="標楷體" w:cs="Times New Roman"/>
          <w:color w:val="000000" w:themeColor="text1"/>
          <w:spacing w:val="99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(</w:t>
      </w:r>
      <w:r w:rsidR="0005446C" w:rsidRPr="002325D1">
        <w:rPr>
          <w:rFonts w:eastAsia="標楷體" w:cs="Times New Roman" w:hint="eastAsia"/>
          <w:color w:val="000000" w:themeColor="text1"/>
          <w:sz w:val="24"/>
          <w:szCs w:val="24"/>
          <w:lang w:eastAsia="zh-TW"/>
        </w:rPr>
        <w:t>E</w:t>
      </w:r>
      <w:r w:rsidR="0005446C" w:rsidRPr="002325D1">
        <w:rPr>
          <w:rFonts w:eastAsia="標楷體" w:cs="Times New Roman"/>
          <w:color w:val="000000" w:themeColor="text1"/>
          <w:sz w:val="24"/>
          <w:szCs w:val="24"/>
          <w:lang w:eastAsia="zh-TW"/>
        </w:rPr>
        <w:t xml:space="preserve">xt. </w:t>
      </w:r>
      <w:r w:rsidRPr="002325D1">
        <w:rPr>
          <w:rFonts w:eastAsia="標楷體" w:cs="Times New Roman"/>
          <w:color w:val="000000" w:themeColor="text1"/>
          <w:spacing w:val="-50"/>
          <w:sz w:val="24"/>
          <w:szCs w:val="24"/>
        </w:rPr>
        <w:t xml:space="preserve"> </w:t>
      </w:r>
      <w:r w:rsidR="005B2DB0">
        <w:rPr>
          <w:rFonts w:cs="Times New Roman"/>
          <w:color w:val="000000" w:themeColor="text1"/>
          <w:spacing w:val="-1"/>
          <w:sz w:val="24"/>
          <w:szCs w:val="24"/>
        </w:rPr>
        <w:t>3592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)</w:t>
      </w:r>
    </w:p>
    <w:p w14:paraId="7CE3365A" w14:textId="77777777" w:rsidR="00E83A97" w:rsidRPr="00296DBD" w:rsidRDefault="00E83A97">
      <w:pPr>
        <w:spacing w:before="3" w:line="240" w:lineRule="exact"/>
        <w:rPr>
          <w:color w:val="000000" w:themeColor="text1"/>
          <w:sz w:val="20"/>
          <w:szCs w:val="20"/>
          <w:lang w:eastAsia="zh-TW"/>
        </w:rPr>
      </w:pPr>
    </w:p>
    <w:p w14:paraId="33A91701" w14:textId="0B64DC2B" w:rsidR="00F022E9" w:rsidRPr="002325D1" w:rsidRDefault="00925BE8" w:rsidP="002325D1">
      <w:pPr>
        <w:pStyle w:val="BodyText"/>
        <w:snapToGrid w:val="0"/>
        <w:ind w:left="1682" w:right="156" w:hangingChars="700" w:hanging="1682"/>
        <w:jc w:val="both"/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</w:pP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C</w:t>
      </w: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urse</w:t>
      </w:r>
      <w:r w:rsidRPr="002325D1">
        <w:rPr>
          <w:rFonts w:cs="Times New Roman"/>
          <w:b/>
          <w:bCs/>
          <w:color w:val="000000" w:themeColor="text1"/>
          <w:spacing w:val="27"/>
          <w:sz w:val="24"/>
          <w:szCs w:val="24"/>
        </w:rPr>
        <w:t xml:space="preserve"> 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M</w:t>
      </w: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te</w:t>
      </w:r>
      <w:r w:rsidRPr="002325D1">
        <w:rPr>
          <w:rFonts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als:</w:t>
      </w:r>
      <w:r w:rsidRPr="002325D1">
        <w:rPr>
          <w:rFonts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="008265DC" w:rsidRPr="008265DC">
        <w:rPr>
          <w:rFonts w:cs="Times New Roman"/>
          <w:color w:val="000000" w:themeColor="text1"/>
          <w:spacing w:val="-1"/>
          <w:sz w:val="24"/>
          <w:szCs w:val="24"/>
        </w:rPr>
        <w:t xml:space="preserve">The Wiley-Blackwell handbook of psychoneuroimmunology / Alexander W. Kusnecov and Hymie Anisman, </w:t>
      </w:r>
      <w:r w:rsidR="00A70A5C" w:rsidRPr="002325D1">
        <w:rPr>
          <w:rFonts w:eastAsiaTheme="minorEastAsia" w:cs="Times New Roman"/>
          <w:color w:val="000000" w:themeColor="text1"/>
          <w:spacing w:val="29"/>
          <w:sz w:val="24"/>
          <w:szCs w:val="24"/>
          <w:lang w:eastAsia="zh-TW"/>
        </w:rPr>
        <w:t xml:space="preserve">and </w:t>
      </w:r>
      <w:r w:rsidR="007C42DC" w:rsidRPr="002325D1">
        <w:rPr>
          <w:rFonts w:cs="Times New Roman"/>
          <w:color w:val="000000" w:themeColor="text1"/>
          <w:spacing w:val="-1"/>
          <w:sz w:val="24"/>
          <w:szCs w:val="24"/>
        </w:rPr>
        <w:t>the relevant</w:t>
      </w:r>
      <w:r w:rsidRPr="002325D1">
        <w:rPr>
          <w:rFonts w:cs="Times New Roman"/>
          <w:color w:val="000000" w:themeColor="text1"/>
          <w:spacing w:val="27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publish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e</w:t>
      </w:r>
      <w:r w:rsidRPr="002325D1">
        <w:rPr>
          <w:rFonts w:cs="Times New Roman"/>
          <w:color w:val="000000" w:themeColor="text1"/>
          <w:sz w:val="24"/>
          <w:szCs w:val="24"/>
        </w:rPr>
        <w:t>d</w:t>
      </w:r>
      <w:r w:rsidR="00D50F86" w:rsidRPr="002325D1">
        <w:rPr>
          <w:rFonts w:cs="Times New Roman"/>
          <w:color w:val="000000" w:themeColor="text1"/>
          <w:sz w:val="24"/>
          <w:szCs w:val="24"/>
          <w:lang w:eastAsia="zh-TW"/>
        </w:rPr>
        <w:t xml:space="preserve"> </w:t>
      </w:r>
      <w:r w:rsidR="00212587" w:rsidRPr="002325D1">
        <w:rPr>
          <w:rFonts w:cs="Times New Roman"/>
          <w:color w:val="000000" w:themeColor="text1"/>
          <w:spacing w:val="-1"/>
          <w:sz w:val="24"/>
          <w:szCs w:val="24"/>
        </w:rPr>
        <w:t>material</w:t>
      </w:r>
      <w:r w:rsidR="00212587" w:rsidRPr="002325D1">
        <w:rPr>
          <w:rFonts w:cs="Times New Roman"/>
          <w:color w:val="000000" w:themeColor="text1"/>
          <w:sz w:val="24"/>
          <w:szCs w:val="24"/>
        </w:rPr>
        <w:t>s</w:t>
      </w:r>
      <w:r w:rsidR="00212587" w:rsidRPr="002325D1">
        <w:rPr>
          <w:rFonts w:eastAsiaTheme="minorEastAsia" w:cs="Times New Roman"/>
          <w:color w:val="000000" w:themeColor="text1"/>
          <w:sz w:val="24"/>
          <w:szCs w:val="24"/>
          <w:lang w:eastAsia="zh-TW"/>
        </w:rPr>
        <w:t xml:space="preserve"> </w:t>
      </w:r>
      <w:r w:rsidR="00212587" w:rsidRPr="002325D1">
        <w:rPr>
          <w:rFonts w:cs="Times New Roman"/>
          <w:color w:val="000000" w:themeColor="text1"/>
          <w:sz w:val="24"/>
          <w:szCs w:val="24"/>
        </w:rPr>
        <w:t>given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b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y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ea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c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h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l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e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cturer</w:t>
      </w:r>
    </w:p>
    <w:p w14:paraId="78E44206" w14:textId="77777777" w:rsidR="00F309DA" w:rsidRPr="002325D1" w:rsidRDefault="00925BE8" w:rsidP="002325D1">
      <w:pPr>
        <w:pStyle w:val="BodyText"/>
        <w:snapToGrid w:val="0"/>
        <w:ind w:left="1675" w:right="156" w:hangingChars="700" w:hanging="1675"/>
        <w:jc w:val="both"/>
        <w:rPr>
          <w:rFonts w:eastAsia="標楷體" w:cs="Times New Roman"/>
          <w:color w:val="000000" w:themeColor="text1"/>
          <w:sz w:val="24"/>
          <w:szCs w:val="24"/>
        </w:rPr>
      </w:pP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>Gr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ad</w:t>
      </w: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>in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>g</w:t>
      </w:r>
      <w:r w:rsidRPr="002325D1">
        <w:rPr>
          <w:rFonts w:cs="Times New Roman"/>
          <w:b/>
          <w:bCs/>
          <w:color w:val="000000" w:themeColor="text1"/>
          <w:spacing w:val="-1"/>
          <w:sz w:val="24"/>
          <w:szCs w:val="24"/>
        </w:rPr>
        <w:t xml:space="preserve"> Criteri</w:t>
      </w:r>
      <w:r w:rsidRPr="002325D1">
        <w:rPr>
          <w:rFonts w:cs="Times New Roman"/>
          <w:b/>
          <w:bCs/>
          <w:color w:val="000000" w:themeColor="text1"/>
          <w:sz w:val="24"/>
          <w:szCs w:val="24"/>
        </w:rPr>
        <w:t xml:space="preserve">a: </w:t>
      </w:r>
      <w:r w:rsidR="00036C7D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>S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t</w:t>
      </w:r>
      <w:r w:rsidRPr="002325D1">
        <w:rPr>
          <w:rFonts w:cs="Times New Roman"/>
          <w:color w:val="000000" w:themeColor="text1"/>
          <w:sz w:val="24"/>
          <w:szCs w:val="24"/>
        </w:rPr>
        <w:t>ud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e</w:t>
      </w:r>
      <w:r w:rsidRPr="002325D1">
        <w:rPr>
          <w:rFonts w:cs="Times New Roman"/>
          <w:color w:val="000000" w:themeColor="text1"/>
          <w:sz w:val="24"/>
          <w:szCs w:val="24"/>
        </w:rPr>
        <w:t>nt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="009B13E3" w:rsidRPr="002325D1">
        <w:rPr>
          <w:rFonts w:eastAsiaTheme="minorEastAsia" w:cs="Times New Roman"/>
          <w:color w:val="000000" w:themeColor="text1"/>
          <w:sz w:val="24"/>
          <w:szCs w:val="24"/>
          <w:lang w:eastAsia="zh-TW"/>
        </w:rPr>
        <w:t>participation</w:t>
      </w:r>
      <w:r w:rsidR="00F022E9" w:rsidRPr="002325D1">
        <w:rPr>
          <w:rFonts w:eastAsiaTheme="minorEastAsia" w:cs="Times New Roman" w:hint="eastAsia"/>
          <w:color w:val="000000" w:themeColor="text1"/>
          <w:sz w:val="24"/>
          <w:szCs w:val="24"/>
          <w:lang w:eastAsia="zh-TW"/>
        </w:rPr>
        <w:t xml:space="preserve"> and </w:t>
      </w:r>
      <w:r w:rsidR="00212587" w:rsidRPr="002325D1">
        <w:rPr>
          <w:rFonts w:eastAsiaTheme="minorEastAsia" w:cs="Times New Roman"/>
          <w:color w:val="000000" w:themeColor="text1"/>
          <w:sz w:val="24"/>
          <w:szCs w:val="24"/>
          <w:lang w:eastAsia="zh-TW"/>
        </w:rPr>
        <w:t>punctuality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(</w:t>
      </w:r>
      <w:r w:rsidR="00F022E9" w:rsidRPr="002325D1">
        <w:rPr>
          <w:rFonts w:eastAsiaTheme="minorEastAsia" w:cs="Times New Roman" w:hint="eastAsia"/>
          <w:color w:val="000000" w:themeColor="text1"/>
          <w:sz w:val="24"/>
          <w:szCs w:val="24"/>
          <w:lang w:eastAsia="zh-TW"/>
        </w:rPr>
        <w:t>20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%</w:t>
      </w:r>
      <w:r w:rsidRPr="002325D1">
        <w:rPr>
          <w:rFonts w:cs="Times New Roman"/>
          <w:color w:val="000000" w:themeColor="text1"/>
          <w:sz w:val="24"/>
          <w:szCs w:val="24"/>
        </w:rPr>
        <w:t>),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="008F37CA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>PBL</w:t>
      </w:r>
      <w:r w:rsidR="009C2779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 xml:space="preserve"> assignment </w:t>
      </w:r>
      <w:r w:rsidR="008F37CA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 xml:space="preserve">and panel discussion </w:t>
      </w:r>
      <w:r w:rsidR="009C2779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>(</w:t>
      </w:r>
      <w:r w:rsidR="008F37CA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>20</w:t>
      </w:r>
      <w:r w:rsidR="009C2779" w:rsidRPr="002325D1">
        <w:rPr>
          <w:rFonts w:eastAsiaTheme="minorEastAsia" w:cs="Times New Roman"/>
          <w:color w:val="000000" w:themeColor="text1"/>
          <w:spacing w:val="-1"/>
          <w:sz w:val="24"/>
          <w:szCs w:val="24"/>
          <w:lang w:eastAsia="zh-TW"/>
        </w:rPr>
        <w:t xml:space="preserve">%), 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o</w:t>
      </w:r>
      <w:r w:rsidRPr="002325D1">
        <w:rPr>
          <w:rFonts w:cs="Times New Roman"/>
          <w:color w:val="000000" w:themeColor="text1"/>
          <w:sz w:val="24"/>
          <w:szCs w:val="24"/>
        </w:rPr>
        <w:t>ne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m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i</w:t>
      </w:r>
      <w:r w:rsidRPr="002325D1">
        <w:rPr>
          <w:rFonts w:cs="Times New Roman"/>
          <w:color w:val="000000" w:themeColor="text1"/>
          <w:sz w:val="24"/>
          <w:szCs w:val="24"/>
        </w:rPr>
        <w:t>d-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te</w:t>
      </w:r>
      <w:r w:rsidRPr="002325D1">
        <w:rPr>
          <w:rFonts w:cs="Times New Roman"/>
          <w:color w:val="000000" w:themeColor="text1"/>
          <w:sz w:val="24"/>
          <w:szCs w:val="24"/>
        </w:rPr>
        <w:t>rm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(3</w:t>
      </w:r>
      <w:r w:rsidR="009B13E3" w:rsidRPr="002325D1">
        <w:rPr>
          <w:rFonts w:eastAsiaTheme="minorEastAsia" w:cs="Times New Roman"/>
          <w:color w:val="000000" w:themeColor="text1"/>
          <w:sz w:val="24"/>
          <w:szCs w:val="24"/>
          <w:lang w:eastAsia="zh-TW"/>
        </w:rPr>
        <w:t>0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%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) 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a</w:t>
      </w:r>
      <w:r w:rsidRPr="002325D1">
        <w:rPr>
          <w:rFonts w:cs="Times New Roman"/>
          <w:color w:val="000000" w:themeColor="text1"/>
          <w:sz w:val="24"/>
          <w:szCs w:val="24"/>
        </w:rPr>
        <w:t>nd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o</w:t>
      </w:r>
      <w:r w:rsidRPr="002325D1">
        <w:rPr>
          <w:rFonts w:cs="Times New Roman"/>
          <w:color w:val="000000" w:themeColor="text1"/>
          <w:sz w:val="24"/>
          <w:szCs w:val="24"/>
        </w:rPr>
        <w:t>ne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f</w:t>
      </w:r>
      <w:r w:rsidRPr="002325D1">
        <w:rPr>
          <w:rFonts w:cs="Times New Roman"/>
          <w:color w:val="000000" w:themeColor="text1"/>
          <w:spacing w:val="-1"/>
          <w:sz w:val="24"/>
          <w:szCs w:val="24"/>
        </w:rPr>
        <w:t>i</w:t>
      </w:r>
      <w:r w:rsidRPr="002325D1">
        <w:rPr>
          <w:rFonts w:cs="Times New Roman"/>
          <w:color w:val="000000" w:themeColor="text1"/>
          <w:sz w:val="24"/>
          <w:szCs w:val="24"/>
        </w:rPr>
        <w:t>nal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exam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 xml:space="preserve"> </w:t>
      </w:r>
      <w:r w:rsidRPr="002325D1">
        <w:rPr>
          <w:rFonts w:cs="Times New Roman"/>
          <w:color w:val="000000" w:themeColor="text1"/>
          <w:sz w:val="24"/>
          <w:szCs w:val="24"/>
        </w:rPr>
        <w:t>(</w:t>
      </w:r>
      <w:r w:rsidR="00F022E9" w:rsidRPr="002325D1">
        <w:rPr>
          <w:rFonts w:eastAsiaTheme="minorEastAsia" w:cs="Times New Roman" w:hint="eastAsia"/>
          <w:color w:val="000000" w:themeColor="text1"/>
          <w:sz w:val="24"/>
          <w:szCs w:val="24"/>
          <w:lang w:eastAsia="zh-TW"/>
        </w:rPr>
        <w:t>3</w:t>
      </w:r>
      <w:r w:rsidR="008F37CA" w:rsidRPr="002325D1">
        <w:rPr>
          <w:rFonts w:eastAsiaTheme="minorEastAsia" w:cs="Times New Roman"/>
          <w:color w:val="000000" w:themeColor="text1"/>
          <w:sz w:val="24"/>
          <w:szCs w:val="24"/>
          <w:lang w:eastAsia="zh-TW"/>
        </w:rPr>
        <w:t>0</w:t>
      </w:r>
      <w:r w:rsidRPr="002325D1">
        <w:rPr>
          <w:rFonts w:cs="Times New Roman"/>
          <w:color w:val="000000" w:themeColor="text1"/>
          <w:spacing w:val="-2"/>
          <w:sz w:val="24"/>
          <w:szCs w:val="24"/>
        </w:rPr>
        <w:t>%</w:t>
      </w:r>
      <w:r w:rsidRPr="002325D1">
        <w:rPr>
          <w:rFonts w:cs="Times New Roman"/>
          <w:color w:val="000000" w:themeColor="text1"/>
          <w:sz w:val="24"/>
          <w:szCs w:val="24"/>
        </w:rPr>
        <w:t xml:space="preserve">) </w:t>
      </w:r>
    </w:p>
    <w:p w14:paraId="67C5D704" w14:textId="77777777" w:rsidR="00F309DA" w:rsidRPr="00F022E9" w:rsidRDefault="00F309DA">
      <w:pPr>
        <w:spacing w:before="8" w:line="90" w:lineRule="exact"/>
        <w:rPr>
          <w:color w:val="000000" w:themeColor="text1"/>
          <w:sz w:val="20"/>
          <w:szCs w:val="20"/>
          <w:lang w:eastAsia="zh-TW"/>
        </w:rPr>
      </w:pPr>
    </w:p>
    <w:tbl>
      <w:tblPr>
        <w:tblW w:w="97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1134"/>
        <w:gridCol w:w="2175"/>
        <w:gridCol w:w="2126"/>
        <w:gridCol w:w="1701"/>
      </w:tblGrid>
      <w:tr w:rsidR="00296DBD" w:rsidRPr="00296DBD" w14:paraId="370A4453" w14:textId="77777777" w:rsidTr="002325D1">
        <w:trPr>
          <w:jc w:val="center"/>
        </w:trPr>
        <w:tc>
          <w:tcPr>
            <w:tcW w:w="2638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2BD69197" w14:textId="77777777" w:rsidR="00E83A97" w:rsidRPr="00296DBD" w:rsidRDefault="00E83A97" w:rsidP="00E83A9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16"/>
                <w:szCs w:val="16"/>
              </w:rPr>
            </w:pPr>
            <w:r w:rsidRPr="00296DBD">
              <w:rPr>
                <w:rFonts w:ascii="標楷體" w:eastAsia="標楷體" w:hAnsi="標楷體" w:cs="Arial"/>
                <w:b/>
                <w:bCs/>
                <w:color w:val="000000" w:themeColor="text1"/>
                <w:sz w:val="16"/>
                <w:szCs w:val="16"/>
              </w:rPr>
              <w:t>方法</w:t>
            </w:r>
          </w:p>
        </w:tc>
        <w:tc>
          <w:tcPr>
            <w:tcW w:w="1134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619C1F3A" w14:textId="77777777" w:rsidR="00E83A97" w:rsidRPr="002325D1" w:rsidRDefault="00E83A97" w:rsidP="00E83A9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2325D1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百分比</w:t>
            </w:r>
            <w:r w:rsidR="00296DBD" w:rsidRPr="002325D1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2325D1"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%</w:t>
            </w:r>
            <w:r w:rsidR="00296DBD" w:rsidRPr="002325D1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175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3D66D7F3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TW"/>
              </w:rPr>
              <w:t>閱讀、理解與運用專業知識</w:t>
            </w:r>
          </w:p>
        </w:tc>
        <w:tc>
          <w:tcPr>
            <w:tcW w:w="2126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2D7763FD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TW"/>
              </w:rPr>
              <w:t>彙整新知與良好的溝通能力</w:t>
            </w:r>
          </w:p>
        </w:tc>
        <w:tc>
          <w:tcPr>
            <w:tcW w:w="1701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843AB2A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解決研究問題的能力</w:t>
            </w:r>
          </w:p>
        </w:tc>
      </w:tr>
      <w:tr w:rsidR="00296DBD" w:rsidRPr="00296DBD" w14:paraId="21633F27" w14:textId="77777777" w:rsidTr="002325D1">
        <w:trPr>
          <w:jc w:val="center"/>
        </w:trPr>
        <w:tc>
          <w:tcPr>
            <w:tcW w:w="2638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EBE45E" w14:textId="77777777" w:rsidR="00E83A97" w:rsidRPr="002325D1" w:rsidRDefault="009B13E3" w:rsidP="00E83A97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準時出席與參與課程Q/A討論</w:t>
            </w:r>
          </w:p>
        </w:tc>
        <w:tc>
          <w:tcPr>
            <w:tcW w:w="1134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A4B72D" w14:textId="77777777" w:rsidR="00E83A97" w:rsidRPr="002325D1" w:rsidRDefault="00743E6F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175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451408B2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2C9E7C37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71024DE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</w:tr>
      <w:tr w:rsidR="009B13E3" w:rsidRPr="00296DBD" w14:paraId="25C5010A" w14:textId="77777777" w:rsidTr="002325D1">
        <w:trPr>
          <w:jc w:val="center"/>
        </w:trPr>
        <w:tc>
          <w:tcPr>
            <w:tcW w:w="2638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7A8139" w14:textId="77777777" w:rsidR="009B13E3" w:rsidRPr="002325D1" w:rsidRDefault="00044D4B" w:rsidP="00B86646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PBL assignment and panel discussion</w:t>
            </w:r>
          </w:p>
        </w:tc>
        <w:tc>
          <w:tcPr>
            <w:tcW w:w="1134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1BC618B" w14:textId="77777777" w:rsidR="009B13E3" w:rsidRPr="002325D1" w:rsidRDefault="008F37CA" w:rsidP="00B86646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175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22F6D276" w14:textId="77777777" w:rsidR="009B13E3" w:rsidRPr="002325D1" w:rsidRDefault="009B13E3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V</w:t>
            </w:r>
          </w:p>
        </w:tc>
        <w:tc>
          <w:tcPr>
            <w:tcW w:w="2126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71F4BED9" w14:textId="77777777" w:rsidR="009B13E3" w:rsidRPr="002325D1" w:rsidRDefault="009B13E3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V</w:t>
            </w:r>
          </w:p>
        </w:tc>
        <w:tc>
          <w:tcPr>
            <w:tcW w:w="1701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54A7DB2" w14:textId="77777777" w:rsidR="009B13E3" w:rsidRPr="002325D1" w:rsidRDefault="009B13E3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V</w:t>
            </w:r>
          </w:p>
        </w:tc>
      </w:tr>
      <w:tr w:rsidR="00296DBD" w:rsidRPr="00296DBD" w14:paraId="19A3DFFD" w14:textId="77777777" w:rsidTr="002325D1">
        <w:trPr>
          <w:jc w:val="center"/>
        </w:trPr>
        <w:tc>
          <w:tcPr>
            <w:tcW w:w="2638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C59B47" w14:textId="77777777" w:rsidR="00E83A97" w:rsidRPr="002325D1" w:rsidRDefault="00E83A97" w:rsidP="00F44654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期中考 Midterm Exam</w:t>
            </w:r>
            <w:r w:rsidR="00F44654"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E2A092" w14:textId="77777777" w:rsidR="00E83A97" w:rsidRPr="002325D1" w:rsidRDefault="00E83A97" w:rsidP="009B13E3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3</w:t>
            </w:r>
            <w:r w:rsidR="009B13E3"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175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65370091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0A1D9A5D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CB7938A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</w:tr>
      <w:tr w:rsidR="00296DBD" w:rsidRPr="00296DBD" w14:paraId="4BE41BA0" w14:textId="77777777" w:rsidTr="002325D1">
        <w:trPr>
          <w:jc w:val="center"/>
        </w:trPr>
        <w:tc>
          <w:tcPr>
            <w:tcW w:w="2638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D4B1FF" w14:textId="77777777" w:rsidR="00E83A97" w:rsidRPr="002325D1" w:rsidRDefault="00E83A97" w:rsidP="00F44654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期末考 Term exam</w:t>
            </w:r>
            <w:r w:rsidR="00F44654"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BD4940" w14:textId="77777777" w:rsidR="00E83A97" w:rsidRPr="002325D1" w:rsidRDefault="00743E6F" w:rsidP="002561F6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2561F6" w:rsidRPr="002325D1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175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78AFC5E8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14:paraId="0A485530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3F8D3DA" w14:textId="77777777" w:rsidR="00E83A97" w:rsidRPr="002325D1" w:rsidRDefault="00E83A97" w:rsidP="00E83A9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2325D1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V</w:t>
            </w:r>
          </w:p>
        </w:tc>
      </w:tr>
    </w:tbl>
    <w:p w14:paraId="11F82EE3" w14:textId="77777777" w:rsidR="00D353DE" w:rsidRPr="00296DBD" w:rsidRDefault="00D353DE" w:rsidP="00D353DE">
      <w:pPr>
        <w:widowControl/>
        <w:pBdr>
          <w:left w:val="single" w:sz="48" w:space="4" w:color="274807"/>
          <w:bottom w:val="single" w:sz="6" w:space="0" w:color="274807"/>
        </w:pBdr>
        <w:shd w:val="clear" w:color="auto" w:fill="FFFFFF"/>
        <w:spacing w:before="100" w:beforeAutospacing="1" w:after="100" w:afterAutospacing="1" w:line="384" w:lineRule="atLeast"/>
        <w:outlineLvl w:val="1"/>
        <w:rPr>
          <w:rFonts w:ascii="Arial" w:eastAsia="新細明體" w:hAnsi="Arial" w:cs="Arial"/>
          <w:b/>
          <w:bCs/>
          <w:color w:val="000000" w:themeColor="text1"/>
          <w:sz w:val="20"/>
          <w:szCs w:val="20"/>
        </w:rPr>
      </w:pPr>
      <w:r w:rsidRPr="00296DBD">
        <w:rPr>
          <w:rFonts w:ascii="標楷體" w:eastAsia="標楷體" w:hAnsi="標楷體" w:cs="Arial"/>
          <w:b/>
          <w:bCs/>
          <w:color w:val="000000" w:themeColor="text1"/>
          <w:sz w:val="20"/>
          <w:szCs w:val="20"/>
        </w:rPr>
        <w:t xml:space="preserve">課程進度 </w:t>
      </w:r>
      <w:r w:rsidRPr="00296DBD">
        <w:rPr>
          <w:rFonts w:ascii="Arial" w:eastAsia="新細明體" w:hAnsi="Arial" w:cs="Arial"/>
          <w:b/>
          <w:bCs/>
          <w:color w:val="000000" w:themeColor="text1"/>
          <w:sz w:val="20"/>
          <w:szCs w:val="20"/>
        </w:rPr>
        <w:t>Course Progress Outline</w:t>
      </w:r>
    </w:p>
    <w:tbl>
      <w:tblPr>
        <w:tblW w:w="5372" w:type="pct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065"/>
        <w:gridCol w:w="5824"/>
        <w:gridCol w:w="2091"/>
      </w:tblGrid>
      <w:tr w:rsidR="00D353DE" w:rsidRPr="00296DBD" w14:paraId="3C55A323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792B835E" w14:textId="77777777" w:rsidR="00D353DE" w:rsidRPr="00296DBD" w:rsidRDefault="00D353DE" w:rsidP="00561D5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</w:pPr>
            <w:r w:rsidRPr="00296DBD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55BA33D" w14:textId="77777777" w:rsidR="00D353DE" w:rsidRPr="00296DBD" w:rsidRDefault="00D353DE" w:rsidP="00561D5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6DBD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週次</w:t>
            </w:r>
            <w:r w:rsidRPr="00296DBD">
              <w:rPr>
                <w:rFonts w:ascii="Arial" w:eastAsia="新細明體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Week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14:paraId="779218D3" w14:textId="77777777" w:rsidR="00D353DE" w:rsidRPr="00296DBD" w:rsidRDefault="00D353DE" w:rsidP="0005446C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6DBD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0"/>
              </w:rPr>
              <w:t>進度說明</w:t>
            </w:r>
            <w:r w:rsidRPr="00296DBD">
              <w:rPr>
                <w:rFonts w:ascii="Arial" w:eastAsia="新細明體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Progress Description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3ACF434D" w14:textId="77777777" w:rsidR="00D353DE" w:rsidRPr="00296DBD" w:rsidRDefault="00D353DE" w:rsidP="0005446C">
            <w:pPr>
              <w:pStyle w:val="TableParagraph"/>
              <w:spacing w:before="58"/>
              <w:ind w:leftChars="133" w:left="293"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Lectu</w:t>
            </w:r>
            <w:r w:rsidRPr="0029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r</w:t>
            </w:r>
            <w:r w:rsidRPr="0029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er</w:t>
            </w:r>
          </w:p>
        </w:tc>
      </w:tr>
      <w:tr w:rsidR="00D353DE" w:rsidRPr="00296DBD" w14:paraId="19101122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60381A" w14:textId="6F593C66" w:rsidR="00D353DE" w:rsidRPr="002325D1" w:rsidRDefault="00D06617" w:rsidP="00AA1A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2/14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25514BC" w14:textId="77777777" w:rsidR="00D353DE" w:rsidRPr="002325D1" w:rsidRDefault="00D353DE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5096197" w14:textId="77777777" w:rsidR="00D353DE" w:rsidRPr="002325D1" w:rsidRDefault="00D353DE" w:rsidP="00AA1AC3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Introduction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73F1A9E8" w14:textId="3F84FAE2" w:rsidR="00D353DE" w:rsidRPr="002325D1" w:rsidRDefault="008265DC" w:rsidP="0005446C">
            <w:pPr>
              <w:pStyle w:val="TableParagraph"/>
              <w:spacing w:line="288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53DE" w:rsidRPr="00296DBD" w14:paraId="41802AF2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86E15E7" w14:textId="30047EC3" w:rsidR="00D353DE" w:rsidRPr="002325D1" w:rsidRDefault="006B21D7" w:rsidP="00561D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2/21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24AFC82" w14:textId="77777777" w:rsidR="00D353DE" w:rsidRPr="002325D1" w:rsidRDefault="00D353DE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C5ECE8" w14:textId="749D3A48" w:rsidR="00D353DE" w:rsidRPr="002325D1" w:rsidRDefault="008265DC" w:rsidP="00561D55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The brain-endocrine-immune network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411E466A" w14:textId="12129D4A" w:rsidR="00D353DE" w:rsidRPr="002325D1" w:rsidRDefault="008265DC" w:rsidP="0005446C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53DE" w:rsidRPr="00296DBD" w14:paraId="3313068B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FC68F8" w14:textId="2B7AF50A" w:rsidR="00D353DE" w:rsidRPr="002325D1" w:rsidRDefault="006B21D7" w:rsidP="00AA1A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3/7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A53D0E1" w14:textId="77777777" w:rsidR="00D353DE" w:rsidRPr="002325D1" w:rsidRDefault="00D353DE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811908" w14:textId="30109BF7" w:rsidR="00D353DE" w:rsidRPr="002325D1" w:rsidRDefault="008265DC" w:rsidP="00561D55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265DC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The chemical messenger and communication 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2FAA4B2F" w14:textId="6F28E69D" w:rsidR="00D353DE" w:rsidRPr="002325D1" w:rsidRDefault="008265DC" w:rsidP="0005446C">
            <w:pPr>
              <w:pStyle w:val="TableParagraph"/>
              <w:spacing w:line="281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53DE" w:rsidRPr="00296DBD" w14:paraId="19300335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BEECC5F" w14:textId="7EF5568A" w:rsidR="00D353DE" w:rsidRPr="002325D1" w:rsidRDefault="006B21D7" w:rsidP="00561D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3/14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3235C77" w14:textId="77777777" w:rsidR="00D353DE" w:rsidRPr="002325D1" w:rsidRDefault="00D353DE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E9EEFC3" w14:textId="5999C611" w:rsidR="00D353DE" w:rsidRPr="002325D1" w:rsidRDefault="006B21D7" w:rsidP="00561D55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Times New Roman" w:hAnsi="Times New Roman" w:cs="Times New Roman"/>
                <w:sz w:val="24"/>
                <w:szCs w:val="24"/>
              </w:rPr>
              <w:t>Complement System in Neuroinflammation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4260DDF6" w14:textId="70F15C43" w:rsidR="00D353DE" w:rsidRPr="002325D1" w:rsidRDefault="006B21D7" w:rsidP="0005446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6B445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張南山</w:t>
            </w:r>
          </w:p>
        </w:tc>
      </w:tr>
      <w:tr w:rsidR="00D353DE" w:rsidRPr="00296DBD" w14:paraId="57F38667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1F7BDC0" w14:textId="0C104D53" w:rsidR="00D353DE" w:rsidRPr="002325D1" w:rsidRDefault="006B21D7" w:rsidP="00561D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3/21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7837631C" w14:textId="77777777" w:rsidR="00D353DE" w:rsidRPr="002325D1" w:rsidRDefault="00122028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FE22CBE" w14:textId="7B5052E3" w:rsidR="00D353DE" w:rsidRPr="002325D1" w:rsidRDefault="006B21D7" w:rsidP="0056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DC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Brain nerve-driven immunity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22DB73BB" w14:textId="766D6CA6" w:rsidR="00D353DE" w:rsidRPr="002325D1" w:rsidRDefault="006B21D7" w:rsidP="0005446C">
            <w:pPr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53DE" w:rsidRPr="00296DBD" w14:paraId="2C69DABA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4780379" w14:textId="017A4422" w:rsidR="00D353DE" w:rsidRPr="002325D1" w:rsidRDefault="006B21D7" w:rsidP="00AA1A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3/28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7B29FB91" w14:textId="77777777" w:rsidR="00D353DE" w:rsidRPr="002325D1" w:rsidRDefault="00122028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4A4D5E0" w14:textId="6E160F57" w:rsidR="00D353DE" w:rsidRPr="002325D1" w:rsidRDefault="00EC792D" w:rsidP="009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DC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Lymphatic system in the CNS</w:t>
            </w:r>
            <w:r w:rsidRPr="0082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12ADB0F1" w14:textId="5ECB9AB2" w:rsidR="00D353DE" w:rsidRPr="002325D1" w:rsidRDefault="00EC792D" w:rsidP="009C692B">
            <w:pPr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53DE" w:rsidRPr="00296DBD" w14:paraId="1FCA7166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3F8EEDA" w14:textId="46300270" w:rsidR="00D353DE" w:rsidRPr="002325D1" w:rsidRDefault="006B21D7" w:rsidP="00AA1A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4/11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FF026DE" w14:textId="77777777" w:rsidR="00D353DE" w:rsidRPr="002325D1" w:rsidRDefault="00122028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0FEE4A" w14:textId="5F57793F" w:rsidR="00D353DE" w:rsidRPr="002325D1" w:rsidRDefault="00EC792D" w:rsidP="00561D5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Times New Roman" w:hAnsi="Times New Roman" w:cs="Times New Roman"/>
                <w:sz w:val="24"/>
                <w:szCs w:val="24"/>
              </w:rPr>
              <w:t>Virus and Brain Immune (1)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1D3545FB" w14:textId="78EAB971" w:rsidR="00D353DE" w:rsidRPr="002325D1" w:rsidRDefault="00EC792D" w:rsidP="0005446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77B7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王憲威</w:t>
            </w:r>
          </w:p>
        </w:tc>
      </w:tr>
      <w:tr w:rsidR="00D353DE" w:rsidRPr="00296DBD" w14:paraId="19315CD1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46D06E9" w14:textId="6E2B527A" w:rsidR="00D353DE" w:rsidRPr="002325D1" w:rsidRDefault="006B21D7" w:rsidP="00AA1AC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4/18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5AEDC9A" w14:textId="77777777" w:rsidR="00D353DE" w:rsidRPr="002325D1" w:rsidRDefault="00122028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51F67C" w14:textId="497B45DE" w:rsidR="00D353DE" w:rsidRPr="002325D1" w:rsidRDefault="00EC792D" w:rsidP="00561D55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265D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Virus and Brain Immune 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65DC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5369B429" w14:textId="19F172BE" w:rsidR="00D353DE" w:rsidRPr="002325D1" w:rsidRDefault="00EC792D" w:rsidP="009C688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477B7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王憲威</w:t>
            </w:r>
          </w:p>
        </w:tc>
      </w:tr>
      <w:tr w:rsidR="00D353DE" w:rsidRPr="00296DBD" w14:paraId="74CFC771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C28230" w14:textId="5C3BCF6C" w:rsidR="00D353DE" w:rsidRPr="002325D1" w:rsidRDefault="006B21D7" w:rsidP="00561D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4/25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6209311E" w14:textId="77777777" w:rsidR="00D353DE" w:rsidRPr="002325D1" w:rsidRDefault="00122028" w:rsidP="00561D55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5AE4942" w14:textId="47E2DF9E" w:rsidR="00D353DE" w:rsidRPr="002325D1" w:rsidRDefault="00EC792D" w:rsidP="00561D55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Mid-term exam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5A3D1808" w14:textId="799A14F5" w:rsidR="00D353DE" w:rsidRPr="002325D1" w:rsidRDefault="008265DC" w:rsidP="0005446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8F3CE4" w:rsidRPr="00296DBD" w14:paraId="0403269D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2232067" w14:textId="002E3FF6" w:rsidR="008F3CE4" w:rsidRPr="002325D1" w:rsidRDefault="008F3CE4" w:rsidP="008F3C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5/2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789EEE0D" w14:textId="77777777" w:rsidR="008F3CE4" w:rsidRPr="002325D1" w:rsidRDefault="008F3CE4" w:rsidP="008F3CE4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1F5260" w14:textId="2AB599F1" w:rsidR="008F3CE4" w:rsidRPr="002325D1" w:rsidRDefault="008F3CE4" w:rsidP="008F3CE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F3CE4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Brain inflammation in autoimmune diseases</w:t>
            </w:r>
            <w:r w:rsidRPr="008F3CE4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40A7E4D9" w14:textId="1274B8EC" w:rsidR="008F3CE4" w:rsidRPr="008F3CE4" w:rsidRDefault="008F3CE4" w:rsidP="008F3CE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8F3CE4">
              <w:rPr>
                <w:rFonts w:ascii="標楷體" w:eastAsia="標楷體" w:hAnsi="標楷體" w:hint="eastAsia"/>
              </w:rPr>
              <w:t>馬珍德</w:t>
            </w:r>
          </w:p>
        </w:tc>
      </w:tr>
      <w:tr w:rsidR="008F3CE4" w:rsidRPr="00296DBD" w14:paraId="02201A4E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7ECF6FB" w14:textId="10619004" w:rsidR="008F3CE4" w:rsidRPr="002325D1" w:rsidRDefault="008F3CE4" w:rsidP="008F3C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5/9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8CBB987" w14:textId="77777777" w:rsidR="008F3CE4" w:rsidRPr="002325D1" w:rsidRDefault="008F3CE4" w:rsidP="008F3CE4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A992851" w14:textId="440A3CCE" w:rsidR="008F3CE4" w:rsidRPr="002325D1" w:rsidRDefault="008F3CE4" w:rsidP="008F3CE4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F3CE4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Therapeutics of neuro diseases targeting neuroinflammation</w:t>
            </w:r>
            <w:r w:rsidRPr="008F3CE4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50AC6EB6" w14:textId="0FB8AC5A" w:rsidR="008F3CE4" w:rsidRPr="008F3CE4" w:rsidRDefault="008F3CE4" w:rsidP="008F3CE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F3CE4">
              <w:rPr>
                <w:rFonts w:ascii="標楷體" w:eastAsia="標楷體" w:hAnsi="標楷體" w:hint="eastAsia"/>
              </w:rPr>
              <w:t>馬珍德</w:t>
            </w:r>
          </w:p>
        </w:tc>
      </w:tr>
      <w:tr w:rsidR="004A4B0F" w:rsidRPr="00296DBD" w14:paraId="2C5259D4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49DE22D" w14:textId="747AFFE3" w:rsidR="004A4B0F" w:rsidRPr="002325D1" w:rsidRDefault="006B21D7" w:rsidP="00207D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5/16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57FAA8E6" w14:textId="77777777" w:rsidR="004A4B0F" w:rsidRPr="002325D1" w:rsidRDefault="004A4B0F" w:rsidP="00207D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207DAB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62E5426" w14:textId="32742C70" w:rsidR="004A4B0F" w:rsidRPr="002325D1" w:rsidRDefault="006B21D7" w:rsidP="005B2DB0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Glycosaminoglycan in Neurodegeneration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7A5F126A" w14:textId="6F3A384C" w:rsidR="004A4B0F" w:rsidRPr="002325D1" w:rsidRDefault="006B21D7" w:rsidP="00B574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6B445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張南山</w:t>
            </w:r>
          </w:p>
        </w:tc>
      </w:tr>
      <w:tr w:rsidR="004A4B0F" w:rsidRPr="00296DBD" w14:paraId="25B8103A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E4CF474" w14:textId="0F0DE0B4" w:rsidR="004A4B0F" w:rsidRPr="002325D1" w:rsidRDefault="006B21D7" w:rsidP="004A4B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5/23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94AE933" w14:textId="77777777" w:rsidR="004A4B0F" w:rsidRPr="002325D1" w:rsidRDefault="004A4B0F" w:rsidP="00207D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7DAB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9E10219" w14:textId="6BCE07BE" w:rsidR="004A4B0F" w:rsidRPr="002325D1" w:rsidRDefault="008F3CE4" w:rsidP="005B2DB0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euron and Glia</w:t>
            </w:r>
            <w:r w:rsidRPr="005B2DB0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781A583D" w14:textId="26F26562" w:rsidR="004A4B0F" w:rsidRPr="002325D1" w:rsidRDefault="005B2DB0" w:rsidP="009C688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朱俊憲</w:t>
            </w:r>
          </w:p>
        </w:tc>
      </w:tr>
      <w:tr w:rsidR="004A4B0F" w:rsidRPr="00296DBD" w14:paraId="17C303C8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53427C" w14:textId="253C1BC6" w:rsidR="004A4B0F" w:rsidRPr="002325D1" w:rsidRDefault="006B21D7" w:rsidP="004A4B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5/30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22A587B" w14:textId="77777777" w:rsidR="004A4B0F" w:rsidRPr="002325D1" w:rsidRDefault="004A4B0F" w:rsidP="00207D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7DAB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D911A75" w14:textId="0CD419F0" w:rsidR="004A4B0F" w:rsidRPr="002325D1" w:rsidRDefault="008F3CE4" w:rsidP="004A4B0F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5B2DB0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>Immune privilege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 xml:space="preserve"> and b</w:t>
            </w:r>
            <w:r w:rsidRPr="005B2DB0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>arriers of brain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42B0E80D" w14:textId="0EC363CE" w:rsidR="004A4B0F" w:rsidRPr="002325D1" w:rsidRDefault="005B2DB0" w:rsidP="003E0FE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8265DC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</w:rPr>
              <w:t>朱俊憲</w:t>
            </w:r>
          </w:p>
        </w:tc>
      </w:tr>
      <w:tr w:rsidR="004A4B0F" w:rsidRPr="00296DBD" w14:paraId="50753346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F74C6F4" w14:textId="467A822D" w:rsidR="004A4B0F" w:rsidRPr="002325D1" w:rsidRDefault="006B21D7" w:rsidP="004A4B0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6/6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E015A6E" w14:textId="77777777" w:rsidR="004A4B0F" w:rsidRPr="002325D1" w:rsidRDefault="004A4B0F" w:rsidP="00207DAB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7DAB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F6F4FF" w14:textId="5A0C05B9" w:rsidR="004A4B0F" w:rsidRPr="002325D1" w:rsidRDefault="008F3CE4" w:rsidP="004A4B0F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5B2DB0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>Inflamed microglia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 xml:space="preserve"> and i</w:t>
            </w:r>
            <w:r w:rsidRPr="005B2DB0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</w:rPr>
              <w:t>nflammatory process in CNS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</w:tcPr>
          <w:p w14:paraId="1121959C" w14:textId="79A5C711" w:rsidR="004A4B0F" w:rsidRPr="002325D1" w:rsidRDefault="008F3CE4" w:rsidP="003E0FE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4A4B0F" w:rsidRPr="00296DBD" w14:paraId="20BD8887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B3CE7B6" w14:textId="0FBB22FD" w:rsidR="004A4B0F" w:rsidRPr="002325D1" w:rsidRDefault="006B21D7" w:rsidP="00207D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6/13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2A91FE72" w14:textId="77777777" w:rsidR="004A4B0F" w:rsidRPr="002325D1" w:rsidRDefault="004A4B0F" w:rsidP="004A4B0F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7CFE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DDB2046" w14:textId="01950595" w:rsidR="004A4B0F" w:rsidRPr="002325D1" w:rsidRDefault="008F3CE4" w:rsidP="004A4B0F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5B2DB0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  <w:t>Non–cell autonomous pathogenesis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1A71F480" w14:textId="1C4D50A1" w:rsidR="004A4B0F" w:rsidRPr="002325D1" w:rsidRDefault="008F3CE4" w:rsidP="00CF1B29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  <w:tr w:rsidR="00D301F8" w:rsidRPr="00296DBD" w14:paraId="02BB3804" w14:textId="77777777" w:rsidTr="005B2DB0">
        <w:tc>
          <w:tcPr>
            <w:tcW w:w="53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22B5519" w14:textId="43499ADA" w:rsidR="00D301F8" w:rsidRPr="002325D1" w:rsidRDefault="006B21D7" w:rsidP="00207D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6/20</w:t>
            </w:r>
            <w:r w:rsidR="00B8552B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-6/27</w:t>
            </w:r>
          </w:p>
        </w:tc>
        <w:tc>
          <w:tcPr>
            <w:tcW w:w="530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14:paraId="736C6071" w14:textId="4BC666FC" w:rsidR="00D301F8" w:rsidRPr="002325D1" w:rsidRDefault="00D301F8" w:rsidP="00E07CF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</w:rPr>
            </w:pPr>
            <w:r w:rsidRPr="002325D1"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E07CFE" w:rsidRPr="002325D1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B8552B"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-18</w:t>
            </w:r>
          </w:p>
        </w:tc>
        <w:tc>
          <w:tcPr>
            <w:tcW w:w="28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FBCD061" w14:textId="3CC1542B" w:rsidR="00D301F8" w:rsidRPr="002325D1" w:rsidRDefault="00B8552B" w:rsidP="004A4B0F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 w:themeColor="text1"/>
                <w:sz w:val="24"/>
                <w:szCs w:val="24"/>
                <w:lang w:eastAsia="zh-TW"/>
              </w:rPr>
              <w:t>tudent presentation</w:t>
            </w:r>
          </w:p>
        </w:tc>
        <w:tc>
          <w:tcPr>
            <w:tcW w:w="1041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shd w:val="clear" w:color="auto" w:fill="FBD4B4" w:themeFill="accent6" w:themeFillTint="66"/>
          </w:tcPr>
          <w:p w14:paraId="2992E07F" w14:textId="6F16DF3B" w:rsidR="00D301F8" w:rsidRPr="002325D1" w:rsidRDefault="008265DC" w:rsidP="0005446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朱俊憲</w:t>
            </w:r>
          </w:p>
        </w:tc>
      </w:tr>
    </w:tbl>
    <w:p w14:paraId="0B81E8B6" w14:textId="77777777" w:rsidR="00925BE8" w:rsidRPr="00296DBD" w:rsidRDefault="00925BE8">
      <w:pPr>
        <w:rPr>
          <w:color w:val="000000" w:themeColor="text1"/>
          <w:sz w:val="20"/>
          <w:szCs w:val="20"/>
          <w:lang w:eastAsia="zh-TW"/>
        </w:rPr>
      </w:pPr>
    </w:p>
    <w:sectPr w:rsidR="00925BE8" w:rsidRPr="00296DBD">
      <w:headerReference w:type="default" r:id="rId6"/>
      <w:type w:val="continuous"/>
      <w:pgSz w:w="11905" w:h="16840"/>
      <w:pgMar w:top="64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CEF9" w14:textId="77777777" w:rsidR="00B2436F" w:rsidRDefault="00B2436F" w:rsidP="009A0951">
      <w:r>
        <w:separator/>
      </w:r>
    </w:p>
  </w:endnote>
  <w:endnote w:type="continuationSeparator" w:id="0">
    <w:p w14:paraId="5241A10D" w14:textId="77777777" w:rsidR="00B2436F" w:rsidRDefault="00B2436F" w:rsidP="009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4F4E" w14:textId="77777777" w:rsidR="00B2436F" w:rsidRDefault="00B2436F" w:rsidP="009A0951">
      <w:r>
        <w:separator/>
      </w:r>
    </w:p>
  </w:footnote>
  <w:footnote w:type="continuationSeparator" w:id="0">
    <w:p w14:paraId="16A9A761" w14:textId="77777777" w:rsidR="00B2436F" w:rsidRDefault="00B2436F" w:rsidP="009A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62ED" w14:textId="342CD799" w:rsidR="008265DC" w:rsidRPr="008F37CA" w:rsidRDefault="00296DBD">
    <w:pPr>
      <w:pStyle w:val="Header"/>
      <w:rPr>
        <w:rFonts w:ascii="Times New Roman" w:hAnsi="Times New Roman" w:cs="Times New Roman"/>
        <w:b/>
        <w:lang w:eastAsia="zh-TW"/>
      </w:rPr>
    </w:pPr>
    <w:r>
      <w:rPr>
        <w:rFonts w:hint="eastAsia"/>
        <w:lang w:eastAsia="zh-TW"/>
      </w:rPr>
      <w:t xml:space="preserve">                                                                                                                                                                    </w:t>
    </w:r>
    <w:r w:rsidRPr="008F37CA">
      <w:rPr>
        <w:rFonts w:ascii="Times New Roman" w:hAnsi="Times New Roman" w:cs="Times New Roman"/>
        <w:b/>
        <w:lang w:eastAsia="zh-TW"/>
      </w:rPr>
      <w:t>20</w:t>
    </w:r>
    <w:r w:rsidR="00AA1AC3">
      <w:rPr>
        <w:rFonts w:ascii="Times New Roman" w:hAnsi="Times New Roman" w:cs="Times New Roman"/>
        <w:b/>
        <w:lang w:eastAsia="zh-TW"/>
      </w:rPr>
      <w:t>2</w:t>
    </w:r>
    <w:r w:rsidR="00FA5468">
      <w:rPr>
        <w:rFonts w:ascii="Times New Roman" w:hAnsi="Times New Roman" w:cs="Times New Roman"/>
        <w:b/>
        <w:lang w:eastAsia="zh-TW"/>
      </w:rPr>
      <w:t>2</w:t>
    </w:r>
    <w:r w:rsidRPr="008F37CA">
      <w:rPr>
        <w:rFonts w:ascii="Times New Roman" w:hAnsi="Times New Roman" w:cs="Times New Roman"/>
        <w:b/>
        <w:lang w:eastAsia="zh-TW"/>
      </w:rPr>
      <w:t>/</w:t>
    </w:r>
    <w:r w:rsidR="00FA5468">
      <w:rPr>
        <w:rFonts w:ascii="Times New Roman" w:hAnsi="Times New Roman" w:cs="Times New Roman"/>
        <w:b/>
        <w:lang w:eastAsia="zh-TW"/>
      </w:rPr>
      <w:t>02</w:t>
    </w:r>
    <w:r w:rsidRPr="008F37CA">
      <w:rPr>
        <w:rFonts w:ascii="Times New Roman" w:hAnsi="Times New Roman" w:cs="Times New Roman"/>
        <w:b/>
        <w:lang w:eastAsia="zh-TW"/>
      </w:rPr>
      <w:t>/</w:t>
    </w:r>
    <w:r w:rsidR="00FA5468">
      <w:rPr>
        <w:rFonts w:ascii="Times New Roman" w:hAnsi="Times New Roman" w:cs="Times New Roman"/>
        <w:b/>
        <w:lang w:eastAsia="zh-TW"/>
      </w:rPr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A"/>
    <w:rsid w:val="00017C35"/>
    <w:rsid w:val="00036C7D"/>
    <w:rsid w:val="00044D4B"/>
    <w:rsid w:val="0005446C"/>
    <w:rsid w:val="00061B10"/>
    <w:rsid w:val="000623C8"/>
    <w:rsid w:val="00070C15"/>
    <w:rsid w:val="000C7DCB"/>
    <w:rsid w:val="000F4FCD"/>
    <w:rsid w:val="00122028"/>
    <w:rsid w:val="00132A19"/>
    <w:rsid w:val="0013391C"/>
    <w:rsid w:val="001369A8"/>
    <w:rsid w:val="00153A90"/>
    <w:rsid w:val="00153F65"/>
    <w:rsid w:val="00197105"/>
    <w:rsid w:val="001A19BA"/>
    <w:rsid w:val="001B3756"/>
    <w:rsid w:val="001B6277"/>
    <w:rsid w:val="00207DAB"/>
    <w:rsid w:val="00210A22"/>
    <w:rsid w:val="00212587"/>
    <w:rsid w:val="00215974"/>
    <w:rsid w:val="00225F35"/>
    <w:rsid w:val="002325D1"/>
    <w:rsid w:val="0025099C"/>
    <w:rsid w:val="002561F6"/>
    <w:rsid w:val="00263E64"/>
    <w:rsid w:val="00283A3F"/>
    <w:rsid w:val="00291878"/>
    <w:rsid w:val="00293617"/>
    <w:rsid w:val="00296DBD"/>
    <w:rsid w:val="002C307E"/>
    <w:rsid w:val="002F6ABD"/>
    <w:rsid w:val="00340DA7"/>
    <w:rsid w:val="003446F9"/>
    <w:rsid w:val="003C1307"/>
    <w:rsid w:val="003C2C59"/>
    <w:rsid w:val="003E0FE0"/>
    <w:rsid w:val="00451E77"/>
    <w:rsid w:val="004A4346"/>
    <w:rsid w:val="004A47A7"/>
    <w:rsid w:val="004A4B0F"/>
    <w:rsid w:val="004F3BE7"/>
    <w:rsid w:val="00512DE5"/>
    <w:rsid w:val="00561135"/>
    <w:rsid w:val="00591F2C"/>
    <w:rsid w:val="005A4A13"/>
    <w:rsid w:val="005A5896"/>
    <w:rsid w:val="005B0096"/>
    <w:rsid w:val="005B2DB0"/>
    <w:rsid w:val="005D4501"/>
    <w:rsid w:val="005E141F"/>
    <w:rsid w:val="005F57B8"/>
    <w:rsid w:val="0060107F"/>
    <w:rsid w:val="00610F72"/>
    <w:rsid w:val="00655A1C"/>
    <w:rsid w:val="006564C9"/>
    <w:rsid w:val="00660A05"/>
    <w:rsid w:val="00683007"/>
    <w:rsid w:val="00683E8B"/>
    <w:rsid w:val="00685126"/>
    <w:rsid w:val="00696984"/>
    <w:rsid w:val="006B21D7"/>
    <w:rsid w:val="006E1CAE"/>
    <w:rsid w:val="00705FDD"/>
    <w:rsid w:val="007061C3"/>
    <w:rsid w:val="00730CA2"/>
    <w:rsid w:val="00743E6F"/>
    <w:rsid w:val="00752993"/>
    <w:rsid w:val="007570C9"/>
    <w:rsid w:val="00760B67"/>
    <w:rsid w:val="007A6623"/>
    <w:rsid w:val="007C42DC"/>
    <w:rsid w:val="007C7278"/>
    <w:rsid w:val="007E3A0A"/>
    <w:rsid w:val="007F597C"/>
    <w:rsid w:val="00806971"/>
    <w:rsid w:val="00817B42"/>
    <w:rsid w:val="00824E58"/>
    <w:rsid w:val="008265DC"/>
    <w:rsid w:val="00853AD8"/>
    <w:rsid w:val="0085701E"/>
    <w:rsid w:val="00866405"/>
    <w:rsid w:val="008772E1"/>
    <w:rsid w:val="00883EC4"/>
    <w:rsid w:val="008949E8"/>
    <w:rsid w:val="008B323D"/>
    <w:rsid w:val="008F37CA"/>
    <w:rsid w:val="008F3CE4"/>
    <w:rsid w:val="00925BE8"/>
    <w:rsid w:val="0093470A"/>
    <w:rsid w:val="00954A6C"/>
    <w:rsid w:val="00987EEB"/>
    <w:rsid w:val="009A0951"/>
    <w:rsid w:val="009B13E3"/>
    <w:rsid w:val="009B40B3"/>
    <w:rsid w:val="009C2779"/>
    <w:rsid w:val="009C6883"/>
    <w:rsid w:val="009C692B"/>
    <w:rsid w:val="00A079B4"/>
    <w:rsid w:val="00A43B5B"/>
    <w:rsid w:val="00A70A5C"/>
    <w:rsid w:val="00AA1AC3"/>
    <w:rsid w:val="00AA786B"/>
    <w:rsid w:val="00AB4252"/>
    <w:rsid w:val="00AC1025"/>
    <w:rsid w:val="00AD0F72"/>
    <w:rsid w:val="00AD6599"/>
    <w:rsid w:val="00AD77EC"/>
    <w:rsid w:val="00B105AE"/>
    <w:rsid w:val="00B2436F"/>
    <w:rsid w:val="00B44D1B"/>
    <w:rsid w:val="00B574BC"/>
    <w:rsid w:val="00B8552B"/>
    <w:rsid w:val="00BA1BE1"/>
    <w:rsid w:val="00BA2FCE"/>
    <w:rsid w:val="00BC55FF"/>
    <w:rsid w:val="00BE450C"/>
    <w:rsid w:val="00C64D75"/>
    <w:rsid w:val="00C8511B"/>
    <w:rsid w:val="00CA22C8"/>
    <w:rsid w:val="00CC5958"/>
    <w:rsid w:val="00CE4002"/>
    <w:rsid w:val="00CF1B29"/>
    <w:rsid w:val="00CF4C4F"/>
    <w:rsid w:val="00D050E7"/>
    <w:rsid w:val="00D06617"/>
    <w:rsid w:val="00D27B5E"/>
    <w:rsid w:val="00D301F8"/>
    <w:rsid w:val="00D353DE"/>
    <w:rsid w:val="00D50F86"/>
    <w:rsid w:val="00D53E46"/>
    <w:rsid w:val="00D54F2B"/>
    <w:rsid w:val="00D658DE"/>
    <w:rsid w:val="00E05477"/>
    <w:rsid w:val="00E07CFE"/>
    <w:rsid w:val="00E419BA"/>
    <w:rsid w:val="00E80988"/>
    <w:rsid w:val="00E8190A"/>
    <w:rsid w:val="00E83A97"/>
    <w:rsid w:val="00E93E8F"/>
    <w:rsid w:val="00EB1371"/>
    <w:rsid w:val="00EC792D"/>
    <w:rsid w:val="00EE452B"/>
    <w:rsid w:val="00F022E9"/>
    <w:rsid w:val="00F0291B"/>
    <w:rsid w:val="00F309DA"/>
    <w:rsid w:val="00F44654"/>
    <w:rsid w:val="00F825C3"/>
    <w:rsid w:val="00FA5468"/>
    <w:rsid w:val="00FB6D9A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400A"/>
  <w15:docId w15:val="{E9EFCB28-BB52-484B-8F8E-4AA5E7A8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095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09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cell_Biology 2012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cell_Biology 2012</dc:title>
  <dc:creator>LW</dc:creator>
  <cp:lastModifiedBy>朱俊憲</cp:lastModifiedBy>
  <cp:revision>14</cp:revision>
  <cp:lastPrinted>2019-09-12T02:00:00Z</cp:lastPrinted>
  <dcterms:created xsi:type="dcterms:W3CDTF">2021-11-11T03:02:00Z</dcterms:created>
  <dcterms:modified xsi:type="dcterms:W3CDTF">2022-02-12T13:48:00Z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2012-05-03T00:00:00Z</vt:filetime>
  </property>
  <property fmtid="{D5CDD505-2E9C-101B-9397-08002B2CF9AE}" pid="3" name="LastSaved">
    <vt:filetime>2013-04-29T00:00:00Z</vt:filetime>
  </property>
</Properties>
</file>