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7EE45" w14:textId="3AD2650B" w:rsidR="007437A6" w:rsidRDefault="007437A6" w:rsidP="007437A6">
      <w:pPr>
        <w:jc w:val="center"/>
        <w:rPr>
          <w:rFonts w:ascii="Arial" w:hAnsi="Arial" w:cs="Arial"/>
          <w:b/>
          <w:bCs/>
        </w:rPr>
      </w:pPr>
      <w:r w:rsidRPr="007437A6">
        <w:rPr>
          <w:rFonts w:ascii="Arial" w:hAnsi="Arial" w:cs="Arial"/>
          <w:b/>
          <w:bCs/>
        </w:rPr>
        <w:t>ALDOA contributes to colorectal tumorigenesis and metastasis</w:t>
      </w:r>
      <w:r>
        <w:rPr>
          <w:rFonts w:ascii="Arial" w:hAnsi="Arial" w:cs="Arial" w:hint="eastAsia"/>
          <w:b/>
          <w:bCs/>
        </w:rPr>
        <w:t xml:space="preserve"> </w:t>
      </w:r>
      <w:r w:rsidRPr="007437A6">
        <w:rPr>
          <w:rFonts w:ascii="Arial" w:hAnsi="Arial" w:cs="Arial"/>
          <w:b/>
          <w:bCs/>
        </w:rPr>
        <w:t>by targeting YAP</w:t>
      </w:r>
    </w:p>
    <w:p w14:paraId="47D2BFCE" w14:textId="146C7571" w:rsidR="00707011" w:rsidRDefault="001E09B1" w:rsidP="007437A6">
      <w:pPr>
        <w:jc w:val="center"/>
        <w:rPr>
          <w:rFonts w:ascii="Arial" w:hAnsi="Arial" w:cs="Arial"/>
        </w:rPr>
      </w:pPr>
      <w:r w:rsidRPr="001E09B1">
        <w:rPr>
          <w:rFonts w:ascii="Arial" w:hAnsi="Arial" w:cs="Arial"/>
        </w:rPr>
        <w:t>Cell Death Discovery volume 10, Article number: 489 (2024)</w:t>
      </w:r>
    </w:p>
    <w:p w14:paraId="3673A923" w14:textId="079516C7" w:rsidR="002520F3" w:rsidRPr="002520F3" w:rsidRDefault="002520F3" w:rsidP="002520F3">
      <w:pPr>
        <w:rPr>
          <w:rFonts w:ascii="Arial" w:hAnsi="Arial" w:cs="Arial"/>
        </w:rPr>
      </w:pPr>
      <w:r w:rsidRPr="002520F3">
        <w:rPr>
          <w:rFonts w:ascii="Arial" w:hAnsi="Arial" w:cs="Arial"/>
          <w:b/>
          <w:bCs/>
        </w:rPr>
        <w:t>Presenter:</w:t>
      </w:r>
      <w:r w:rsidRPr="002520F3">
        <w:rPr>
          <w:rFonts w:ascii="Arial" w:hAnsi="Arial" w:cs="Arial"/>
        </w:rPr>
        <w:t> </w:t>
      </w:r>
      <w:r w:rsidR="00184AA5">
        <w:rPr>
          <w:rFonts w:ascii="Arial" w:hAnsi="Arial" w:cs="Arial"/>
        </w:rPr>
        <w:t>Shih-Li Hong</w:t>
      </w:r>
      <w:r w:rsidRPr="002520F3">
        <w:rPr>
          <w:rFonts w:ascii="Arial" w:hAnsi="Arial" w:cs="Arial"/>
        </w:rPr>
        <w:t>                           </w:t>
      </w:r>
      <w:r w:rsidR="00B36BD4">
        <w:rPr>
          <w:rFonts w:ascii="Arial" w:hAnsi="Arial" w:cs="Arial" w:hint="eastAsia"/>
        </w:rPr>
        <w:t xml:space="preserve">    </w:t>
      </w:r>
      <w:r w:rsidR="00CA1F58">
        <w:rPr>
          <w:rFonts w:ascii="Arial" w:hAnsi="Arial" w:cs="Arial" w:hint="eastAsia"/>
        </w:rPr>
        <w:t xml:space="preserve">    </w:t>
      </w:r>
      <w:r w:rsidRPr="002520F3">
        <w:rPr>
          <w:rFonts w:ascii="Arial" w:hAnsi="Arial" w:cs="Arial"/>
          <w:b/>
          <w:bCs/>
        </w:rPr>
        <w:t>Date/Time: </w:t>
      </w:r>
      <w:r w:rsidRPr="002520F3">
        <w:rPr>
          <w:rFonts w:ascii="Arial" w:hAnsi="Arial" w:cs="Arial"/>
        </w:rPr>
        <w:t>20</w:t>
      </w:r>
      <w:r w:rsidR="00861CAE" w:rsidRPr="0083701A">
        <w:rPr>
          <w:rFonts w:ascii="Arial" w:hAnsi="Arial" w:cs="Arial"/>
        </w:rPr>
        <w:t>2</w:t>
      </w:r>
      <w:r w:rsidR="00C72857">
        <w:rPr>
          <w:rFonts w:ascii="Arial" w:hAnsi="Arial" w:cs="Arial" w:hint="eastAsia"/>
        </w:rPr>
        <w:t>5</w:t>
      </w:r>
      <w:r w:rsidRPr="002520F3">
        <w:rPr>
          <w:rFonts w:ascii="Arial" w:hAnsi="Arial" w:cs="Arial"/>
        </w:rPr>
        <w:t>/</w:t>
      </w:r>
      <w:r w:rsidR="00707011">
        <w:rPr>
          <w:rFonts w:ascii="Arial" w:hAnsi="Arial" w:cs="Arial" w:hint="eastAsia"/>
        </w:rPr>
        <w:t>0</w:t>
      </w:r>
      <w:r w:rsidR="00C72857">
        <w:rPr>
          <w:rFonts w:ascii="Arial" w:hAnsi="Arial" w:cs="Arial" w:hint="eastAsia"/>
        </w:rPr>
        <w:t>3</w:t>
      </w:r>
      <w:r w:rsidRPr="002520F3">
        <w:rPr>
          <w:rFonts w:ascii="Arial" w:hAnsi="Arial" w:cs="Arial"/>
        </w:rPr>
        <w:t>/</w:t>
      </w:r>
      <w:r w:rsidR="00C72857">
        <w:rPr>
          <w:rFonts w:ascii="Arial" w:hAnsi="Arial" w:cs="Arial" w:hint="eastAsia"/>
        </w:rPr>
        <w:t>06</w:t>
      </w:r>
      <w:r w:rsidRPr="002520F3">
        <w:rPr>
          <w:rFonts w:ascii="Arial" w:hAnsi="Arial" w:cs="Arial"/>
        </w:rPr>
        <w:t>, 1</w:t>
      </w:r>
      <w:r w:rsidR="00AD09B8">
        <w:rPr>
          <w:rFonts w:ascii="Arial" w:hAnsi="Arial" w:cs="Arial" w:hint="eastAsia"/>
        </w:rPr>
        <w:t>5</w:t>
      </w:r>
      <w:r w:rsidRPr="002520F3">
        <w:rPr>
          <w:rFonts w:ascii="Arial" w:hAnsi="Arial" w:cs="Arial"/>
        </w:rPr>
        <w:t>:</w:t>
      </w:r>
      <w:r w:rsidR="00C72857">
        <w:rPr>
          <w:rFonts w:ascii="Arial" w:hAnsi="Arial" w:cs="Arial" w:hint="eastAsia"/>
        </w:rPr>
        <w:t>2</w:t>
      </w:r>
      <w:r w:rsidRPr="002520F3">
        <w:rPr>
          <w:rFonts w:ascii="Arial" w:hAnsi="Arial" w:cs="Arial"/>
        </w:rPr>
        <w:t>0 -1</w:t>
      </w:r>
      <w:r w:rsidR="00AD09B8">
        <w:rPr>
          <w:rFonts w:ascii="Arial" w:hAnsi="Arial" w:cs="Arial" w:hint="eastAsia"/>
        </w:rPr>
        <w:t>6</w:t>
      </w:r>
      <w:r w:rsidRPr="002520F3">
        <w:rPr>
          <w:rFonts w:ascii="Arial" w:hAnsi="Arial" w:cs="Arial"/>
        </w:rPr>
        <w:t>:</w:t>
      </w:r>
      <w:r w:rsidR="00C72857">
        <w:rPr>
          <w:rFonts w:ascii="Arial" w:hAnsi="Arial" w:cs="Arial" w:hint="eastAsia"/>
        </w:rPr>
        <w:t>1</w:t>
      </w:r>
      <w:r w:rsidRPr="002520F3">
        <w:rPr>
          <w:rFonts w:ascii="Arial" w:hAnsi="Arial" w:cs="Arial"/>
        </w:rPr>
        <w:t>0</w:t>
      </w:r>
    </w:p>
    <w:p w14:paraId="0E2C7D7B" w14:textId="374887A2" w:rsidR="002520F3" w:rsidRPr="002520F3" w:rsidRDefault="002520F3" w:rsidP="002520F3">
      <w:pPr>
        <w:rPr>
          <w:rFonts w:ascii="Arial" w:hAnsi="Arial" w:cs="Arial"/>
        </w:rPr>
      </w:pPr>
      <w:r w:rsidRPr="00031D2A">
        <w:rPr>
          <w:rFonts w:ascii="Arial" w:hAnsi="Arial" w:cs="Arial"/>
          <w:b/>
          <w:bCs/>
        </w:rPr>
        <w:t>Commentator: </w:t>
      </w:r>
      <w:r w:rsidR="00D61D0C" w:rsidRPr="00D61D0C">
        <w:rPr>
          <w:rFonts w:ascii="Arial" w:hAnsi="Arial" w:cs="Arial"/>
        </w:rPr>
        <w:t>Wang, Yi-Ching, Ph.D.</w:t>
      </w:r>
      <w:r w:rsidR="0024092A" w:rsidRPr="00031D2A">
        <w:rPr>
          <w:rFonts w:ascii="Arial" w:hAnsi="Arial" w:cs="Arial"/>
        </w:rPr>
        <w:t xml:space="preserve"> </w:t>
      </w:r>
      <w:r w:rsidRPr="00031D2A">
        <w:rPr>
          <w:rFonts w:ascii="Arial" w:hAnsi="Arial" w:cs="Arial"/>
        </w:rPr>
        <w:t>     </w:t>
      </w:r>
      <w:r w:rsidR="00EB52E3" w:rsidRPr="00031D2A">
        <w:rPr>
          <w:rFonts w:ascii="Arial" w:hAnsi="Arial" w:cs="Arial"/>
        </w:rPr>
        <w:tab/>
      </w:r>
      <w:r w:rsidR="0024092A">
        <w:rPr>
          <w:rFonts w:ascii="Arial" w:hAnsi="Arial" w:cs="Arial"/>
        </w:rPr>
        <w:t xml:space="preserve">    </w:t>
      </w:r>
      <w:r w:rsidR="00F9042F">
        <w:rPr>
          <w:rFonts w:ascii="Arial" w:hAnsi="Arial" w:cs="Arial" w:hint="eastAsia"/>
        </w:rPr>
        <w:t xml:space="preserve"> </w:t>
      </w:r>
      <w:r w:rsidRPr="00031D2A">
        <w:rPr>
          <w:rFonts w:ascii="Arial" w:hAnsi="Arial" w:cs="Arial"/>
        </w:rPr>
        <w:t> </w:t>
      </w:r>
      <w:r w:rsidRPr="002520F3">
        <w:rPr>
          <w:rFonts w:ascii="Arial" w:hAnsi="Arial" w:cs="Arial"/>
          <w:b/>
          <w:bCs/>
        </w:rPr>
        <w:t>Location:</w:t>
      </w:r>
      <w:r w:rsidRPr="002520F3">
        <w:rPr>
          <w:rFonts w:ascii="Arial" w:hAnsi="Arial" w:cs="Arial"/>
        </w:rPr>
        <w:t> Room 601, Med College Building</w:t>
      </w:r>
    </w:p>
    <w:p w14:paraId="6F639F8B" w14:textId="370DFDDA" w:rsidR="006668C1" w:rsidRPr="00B45C8F" w:rsidRDefault="002520F3" w:rsidP="00B45C8F">
      <w:pPr>
        <w:jc w:val="both"/>
        <w:rPr>
          <w:rFonts w:ascii="Arial" w:hAnsi="Arial" w:cs="Arial"/>
        </w:rPr>
      </w:pPr>
      <w:r w:rsidRPr="002520F3">
        <w:rPr>
          <w:rFonts w:ascii="Arial" w:hAnsi="Arial" w:cs="Arial"/>
          <w:b/>
          <w:bCs/>
        </w:rPr>
        <w:t>Background: </w:t>
      </w:r>
      <w:r w:rsidR="00B45C8F" w:rsidRPr="00B45C8F">
        <w:rPr>
          <w:rFonts w:ascii="Arial" w:hAnsi="Arial" w:cs="Arial"/>
        </w:rPr>
        <w:t xml:space="preserve">Metabolic reprogramming is considered one of the hallmarks of cancer in which cancer cells reprogram their metabolic cascades, mostly driven by the specific chemical microenvironment in cancer tissues. Cancer cells can generate ATP without oxygen, a process described as the Warburg </w:t>
      </w:r>
      <w:proofErr w:type="gramStart"/>
      <w:r w:rsidR="00B45C8F" w:rsidRPr="00B45C8F">
        <w:rPr>
          <w:rFonts w:ascii="Arial" w:hAnsi="Arial" w:cs="Arial"/>
        </w:rPr>
        <w:t>effect ,</w:t>
      </w:r>
      <w:proofErr w:type="gramEnd"/>
      <w:r w:rsidR="00B45C8F" w:rsidRPr="00B45C8F">
        <w:rPr>
          <w:rFonts w:ascii="Arial" w:hAnsi="Arial" w:cs="Arial"/>
        </w:rPr>
        <w:t xml:space="preserve"> which was thought to be at the basis of carcinogenesis. Therefore, high-throughput biochemical techniques have discovered various glycolytic enzymes or metabolic pathways as prospective therapeutic targets for cancer therapy.</w:t>
      </w:r>
      <w:r w:rsidR="00B45C8F">
        <w:rPr>
          <w:rFonts w:ascii="Arial" w:hAnsi="Arial" w:cs="Arial" w:hint="eastAsia"/>
        </w:rPr>
        <w:t xml:space="preserve"> </w:t>
      </w:r>
      <w:r w:rsidR="00B45C8F" w:rsidRPr="00B45C8F">
        <w:rPr>
          <w:rFonts w:ascii="Arial" w:hAnsi="Arial" w:cs="Arial"/>
        </w:rPr>
        <w:t xml:space="preserve">Fructose-bisphosphate aldolase catalyzes the reversible conversion of fructose-1,6-bisphosphate (FBP) to glyceraldehyde-3-phosphate (G3P) and dihydroxyacetone phosphate (DHAP) in the glycolytic pathway. Aldolase A (ALDOA) is one of three aldolase isozymes (A, B, and C) involved in cellular functions, such as ATP generation. ALDOA has been revealed to be highly expressed in numerous malignancies, including human </w:t>
      </w:r>
      <w:proofErr w:type="gramStart"/>
      <w:r w:rsidR="00B45C8F" w:rsidRPr="00B45C8F">
        <w:rPr>
          <w:rFonts w:ascii="Arial" w:hAnsi="Arial" w:cs="Arial"/>
        </w:rPr>
        <w:t>pancreatic ,</w:t>
      </w:r>
      <w:proofErr w:type="gramEnd"/>
      <w:r w:rsidR="00B45C8F" w:rsidRPr="00B45C8F">
        <w:rPr>
          <w:rFonts w:ascii="Arial" w:hAnsi="Arial" w:cs="Arial"/>
        </w:rPr>
        <w:t xml:space="preserve"> prostate, hepatocellular, cervical, bladder, gastric, and lung cancer. In CRC, relative to healthy glandular epithelium tissues, ALDOA was found to be substantially expressed in tumor tissues and liver metastatic CRC, and an elevated level of ALDOA contributed to the poor survival outcomes in CRC patients. However, the exact role and mechanism of ALDOA in CRC have not been fully explored.</w:t>
      </w:r>
    </w:p>
    <w:p w14:paraId="0116F2B2" w14:textId="5C2FFB8C" w:rsidR="000A198D" w:rsidRPr="00815AFA" w:rsidRDefault="002520F3" w:rsidP="00DD44DF">
      <w:pPr>
        <w:jc w:val="both"/>
        <w:rPr>
          <w:rFonts w:ascii="Arial" w:hAnsi="Arial" w:cs="Arial"/>
        </w:rPr>
      </w:pPr>
      <w:r w:rsidRPr="002520F3">
        <w:rPr>
          <w:rFonts w:ascii="Arial" w:hAnsi="Arial" w:cs="Arial"/>
          <w:b/>
          <w:bCs/>
        </w:rPr>
        <w:t>Objective/Hypothesis:</w:t>
      </w:r>
      <w:r w:rsidR="00815AFA" w:rsidRPr="00815AFA">
        <w:t xml:space="preserve"> </w:t>
      </w:r>
      <w:r w:rsidR="00815AFA" w:rsidRPr="00815AFA">
        <w:rPr>
          <w:rFonts w:ascii="Arial" w:hAnsi="Arial" w:cs="Arial"/>
        </w:rPr>
        <w:t>This could suggest a novel avenue for treating CRC by inhibiting both ALDOA and YAP signaling.</w:t>
      </w:r>
    </w:p>
    <w:p w14:paraId="05D24F49" w14:textId="5E8194E9" w:rsidR="00DD44DF" w:rsidRPr="0099481E" w:rsidRDefault="002520F3" w:rsidP="00DD44DF">
      <w:pPr>
        <w:jc w:val="both"/>
        <w:rPr>
          <w:rFonts w:ascii="Arial" w:eastAsia="新細明體" w:hAnsi="Arial" w:cs="Arial"/>
          <w:color w:val="222222"/>
          <w:kern w:val="0"/>
          <w:szCs w:val="24"/>
        </w:rPr>
      </w:pPr>
      <w:r w:rsidRPr="002520F3">
        <w:rPr>
          <w:rFonts w:ascii="Arial" w:hAnsi="Arial" w:cs="Arial"/>
          <w:b/>
          <w:bCs/>
        </w:rPr>
        <w:t>Results:</w:t>
      </w:r>
      <w:r w:rsidRPr="0099481E">
        <w:rPr>
          <w:rFonts w:ascii="Arial" w:hAnsi="Arial" w:cs="Arial"/>
        </w:rPr>
        <w:t> </w:t>
      </w:r>
      <w:r w:rsidR="0099481E" w:rsidRPr="0099481E">
        <w:rPr>
          <w:rFonts w:ascii="Arial" w:hAnsi="Arial" w:cs="Arial"/>
        </w:rPr>
        <w:t xml:space="preserve">In this study, ALDOA expression was substantially elevated in CRC tissues and was correlated with prognosis of CRC patients. The loss and gain of function investigations revealed that ALDOA elevated the proliferative and migratory potential of CRC cells in vitro and in vivo. High ALDOA expression leads to AMPK inhibition and YAP </w:t>
      </w:r>
      <w:proofErr w:type="spellStart"/>
      <w:r w:rsidR="0099481E" w:rsidRPr="0099481E">
        <w:rPr>
          <w:rFonts w:ascii="Arial" w:hAnsi="Arial" w:cs="Arial"/>
        </w:rPr>
        <w:t>unphosphorylation</w:t>
      </w:r>
      <w:proofErr w:type="spellEnd"/>
      <w:r w:rsidR="0099481E" w:rsidRPr="0099481E">
        <w:rPr>
          <w:rFonts w:ascii="Arial" w:hAnsi="Arial" w:cs="Arial"/>
        </w:rPr>
        <w:t xml:space="preserve">. </w:t>
      </w:r>
      <w:proofErr w:type="spellStart"/>
      <w:r w:rsidR="0099481E" w:rsidRPr="0099481E">
        <w:rPr>
          <w:rFonts w:ascii="Arial" w:hAnsi="Arial" w:cs="Arial"/>
        </w:rPr>
        <w:t>Unphophorylated</w:t>
      </w:r>
      <w:proofErr w:type="spellEnd"/>
      <w:r w:rsidR="0099481E" w:rsidRPr="0099481E">
        <w:rPr>
          <w:rFonts w:ascii="Arial" w:hAnsi="Arial" w:cs="Arial"/>
        </w:rPr>
        <w:t xml:space="preserve"> YAP </w:t>
      </w:r>
      <w:proofErr w:type="spellStart"/>
      <w:r w:rsidR="0099481E" w:rsidRPr="0099481E">
        <w:rPr>
          <w:rFonts w:ascii="Arial" w:hAnsi="Arial" w:cs="Arial"/>
        </w:rPr>
        <w:t>translocates</w:t>
      </w:r>
      <w:proofErr w:type="spellEnd"/>
      <w:r w:rsidR="0099481E" w:rsidRPr="0099481E">
        <w:rPr>
          <w:rFonts w:ascii="Arial" w:hAnsi="Arial" w:cs="Arial"/>
        </w:rPr>
        <w:t xml:space="preserve"> into the nucleus and triggers its target genes expression that promotes CRC cell proliferation and migration. Our findings reveal that ALDOA can function as a crucial regulator of YAP and may become a novel therapeutic target for CRC.</w:t>
      </w:r>
    </w:p>
    <w:p w14:paraId="7D993771" w14:textId="5353D9C0" w:rsidR="002E1318" w:rsidRPr="00DB7F3D" w:rsidRDefault="00EF45CF" w:rsidP="00DD44DF">
      <w:pPr>
        <w:jc w:val="both"/>
        <w:rPr>
          <w:rFonts w:ascii="Arial" w:hAnsi="Arial" w:cs="Arial"/>
        </w:rPr>
      </w:pPr>
      <w:r w:rsidRPr="00EF45CF">
        <w:rPr>
          <w:rFonts w:ascii="Arial" w:eastAsia="新細明體" w:hAnsi="Arial" w:cs="Arial"/>
          <w:b/>
          <w:bCs/>
          <w:color w:val="222222"/>
          <w:kern w:val="0"/>
          <w:szCs w:val="24"/>
        </w:rPr>
        <w:t>Conclusion:</w:t>
      </w:r>
      <w:r w:rsidR="00F03075" w:rsidRPr="00F03075">
        <w:t xml:space="preserve"> </w:t>
      </w:r>
      <w:r w:rsidR="00DB7F3D" w:rsidRPr="00DB7F3D">
        <w:rPr>
          <w:rFonts w:ascii="Arial" w:hAnsi="Arial" w:cs="Arial"/>
        </w:rPr>
        <w:t xml:space="preserve">In the current study, </w:t>
      </w:r>
      <w:r w:rsidR="00DB7F3D">
        <w:rPr>
          <w:rFonts w:ascii="Arial" w:hAnsi="Arial" w:cs="Arial" w:hint="eastAsia"/>
        </w:rPr>
        <w:t>author</w:t>
      </w:r>
      <w:r w:rsidR="00DB7F3D" w:rsidRPr="00DB7F3D">
        <w:rPr>
          <w:rFonts w:ascii="Arial" w:hAnsi="Arial" w:cs="Arial"/>
        </w:rPr>
        <w:t xml:space="preserve"> demonstrated that ALDOA expression was increased in human CRC tissues. Additionally, clinical evaluation demonstrated a positive correlation between high ALDOA expression and tumor size, invasion depth, LNM, and TNM stage. K-M analysis revealed that elevated ALDOA levels correlated with a poor prognosis in CRC patients with stage I-III, whereas the prognosis tends to be favorable in patients with advanced CRC. Furthermore, the loss and gain of function assay suggested that ALDOA depletion inhibited CRC cell proliferation and migration while ectopic ALDOA showed the opposing results, indicating the oncogenic roles of ALDOA in CRC.</w:t>
      </w:r>
    </w:p>
    <w:sectPr w:rsidR="002E1318" w:rsidRPr="00DB7F3D" w:rsidSect="00ED1A92">
      <w:pgSz w:w="11906" w:h="16838"/>
      <w:pgMar w:top="720" w:right="720" w:bottom="720"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524C3" w14:textId="77777777" w:rsidR="00497746" w:rsidRDefault="00497746" w:rsidP="00905460">
      <w:r>
        <w:separator/>
      </w:r>
    </w:p>
  </w:endnote>
  <w:endnote w:type="continuationSeparator" w:id="0">
    <w:p w14:paraId="3790ECD3" w14:textId="77777777" w:rsidR="00497746" w:rsidRDefault="00497746" w:rsidP="0090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ED4DC" w14:textId="77777777" w:rsidR="00497746" w:rsidRDefault="00497746" w:rsidP="00905460">
      <w:r>
        <w:separator/>
      </w:r>
    </w:p>
  </w:footnote>
  <w:footnote w:type="continuationSeparator" w:id="0">
    <w:p w14:paraId="17FA25F8" w14:textId="77777777" w:rsidR="00497746" w:rsidRDefault="00497746" w:rsidP="009054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30C6A6"/>
    <w:rsid w:val="00010ADE"/>
    <w:rsid w:val="00023A9E"/>
    <w:rsid w:val="000243AC"/>
    <w:rsid w:val="00027E1A"/>
    <w:rsid w:val="00031D2A"/>
    <w:rsid w:val="000469BB"/>
    <w:rsid w:val="00052901"/>
    <w:rsid w:val="00080A16"/>
    <w:rsid w:val="000A198D"/>
    <w:rsid w:val="000B766F"/>
    <w:rsid w:val="000E4B68"/>
    <w:rsid w:val="000F050F"/>
    <w:rsid w:val="00104F24"/>
    <w:rsid w:val="00105D20"/>
    <w:rsid w:val="00132B3B"/>
    <w:rsid w:val="00141AB1"/>
    <w:rsid w:val="00145EA5"/>
    <w:rsid w:val="00153E96"/>
    <w:rsid w:val="001619CB"/>
    <w:rsid w:val="0016516F"/>
    <w:rsid w:val="00184AA5"/>
    <w:rsid w:val="001854A1"/>
    <w:rsid w:val="00186F95"/>
    <w:rsid w:val="0019151E"/>
    <w:rsid w:val="00195FF2"/>
    <w:rsid w:val="001A13E5"/>
    <w:rsid w:val="001A2EB4"/>
    <w:rsid w:val="001C43A7"/>
    <w:rsid w:val="001E09B1"/>
    <w:rsid w:val="001E1633"/>
    <w:rsid w:val="001E3C1A"/>
    <w:rsid w:val="00217E51"/>
    <w:rsid w:val="00220797"/>
    <w:rsid w:val="002207F8"/>
    <w:rsid w:val="00227FA4"/>
    <w:rsid w:val="0023391C"/>
    <w:rsid w:val="0024092A"/>
    <w:rsid w:val="002445DC"/>
    <w:rsid w:val="002520F3"/>
    <w:rsid w:val="0025632A"/>
    <w:rsid w:val="00256CA9"/>
    <w:rsid w:val="00272B4D"/>
    <w:rsid w:val="00276E2A"/>
    <w:rsid w:val="002A2605"/>
    <w:rsid w:val="002B02AB"/>
    <w:rsid w:val="002C26B6"/>
    <w:rsid w:val="002C6D0F"/>
    <w:rsid w:val="002D1437"/>
    <w:rsid w:val="002D37B9"/>
    <w:rsid w:val="002E1318"/>
    <w:rsid w:val="002F6AC5"/>
    <w:rsid w:val="00307782"/>
    <w:rsid w:val="00313DC6"/>
    <w:rsid w:val="00322862"/>
    <w:rsid w:val="00342573"/>
    <w:rsid w:val="00356A6A"/>
    <w:rsid w:val="00364835"/>
    <w:rsid w:val="00372220"/>
    <w:rsid w:val="003D761A"/>
    <w:rsid w:val="00402E5A"/>
    <w:rsid w:val="00410ED4"/>
    <w:rsid w:val="004113DF"/>
    <w:rsid w:val="004156D1"/>
    <w:rsid w:val="0041655A"/>
    <w:rsid w:val="00430F15"/>
    <w:rsid w:val="00446996"/>
    <w:rsid w:val="0044759A"/>
    <w:rsid w:val="00451D60"/>
    <w:rsid w:val="004640FF"/>
    <w:rsid w:val="004672A5"/>
    <w:rsid w:val="0047267D"/>
    <w:rsid w:val="00473E83"/>
    <w:rsid w:val="00486AB3"/>
    <w:rsid w:val="004962B3"/>
    <w:rsid w:val="00497746"/>
    <w:rsid w:val="004B5549"/>
    <w:rsid w:val="004C2C9E"/>
    <w:rsid w:val="004C2DE9"/>
    <w:rsid w:val="004D500E"/>
    <w:rsid w:val="004F167C"/>
    <w:rsid w:val="00506DF0"/>
    <w:rsid w:val="00511E86"/>
    <w:rsid w:val="00512400"/>
    <w:rsid w:val="0053118D"/>
    <w:rsid w:val="00542070"/>
    <w:rsid w:val="00582CD1"/>
    <w:rsid w:val="005C0CA7"/>
    <w:rsid w:val="005C4520"/>
    <w:rsid w:val="005E2585"/>
    <w:rsid w:val="005E68B7"/>
    <w:rsid w:val="005F1B3D"/>
    <w:rsid w:val="00623EF0"/>
    <w:rsid w:val="00632DC7"/>
    <w:rsid w:val="00664819"/>
    <w:rsid w:val="006668C1"/>
    <w:rsid w:val="00676B05"/>
    <w:rsid w:val="0068108B"/>
    <w:rsid w:val="00686781"/>
    <w:rsid w:val="006A250F"/>
    <w:rsid w:val="006A3AA2"/>
    <w:rsid w:val="006A61FC"/>
    <w:rsid w:val="006B50B0"/>
    <w:rsid w:val="006D5D75"/>
    <w:rsid w:val="006E43D9"/>
    <w:rsid w:val="006F0224"/>
    <w:rsid w:val="00704DF6"/>
    <w:rsid w:val="00707011"/>
    <w:rsid w:val="00716537"/>
    <w:rsid w:val="00720D7F"/>
    <w:rsid w:val="00732AE6"/>
    <w:rsid w:val="00732CAE"/>
    <w:rsid w:val="007437A6"/>
    <w:rsid w:val="007613F5"/>
    <w:rsid w:val="00762E2F"/>
    <w:rsid w:val="00767A7A"/>
    <w:rsid w:val="0077057C"/>
    <w:rsid w:val="00772CED"/>
    <w:rsid w:val="00784CC3"/>
    <w:rsid w:val="007A60A8"/>
    <w:rsid w:val="007A6E19"/>
    <w:rsid w:val="007B32BD"/>
    <w:rsid w:val="007D28BD"/>
    <w:rsid w:val="007D5125"/>
    <w:rsid w:val="007D542E"/>
    <w:rsid w:val="0080376B"/>
    <w:rsid w:val="00815AFA"/>
    <w:rsid w:val="0083701A"/>
    <w:rsid w:val="00847A5D"/>
    <w:rsid w:val="00861CAE"/>
    <w:rsid w:val="008672CA"/>
    <w:rsid w:val="0087097F"/>
    <w:rsid w:val="00884C07"/>
    <w:rsid w:val="00893FB6"/>
    <w:rsid w:val="008A1A74"/>
    <w:rsid w:val="008A209E"/>
    <w:rsid w:val="008A3DF7"/>
    <w:rsid w:val="008B2948"/>
    <w:rsid w:val="008C6059"/>
    <w:rsid w:val="008D0C01"/>
    <w:rsid w:val="008D59ED"/>
    <w:rsid w:val="008E253C"/>
    <w:rsid w:val="008E720F"/>
    <w:rsid w:val="008F6109"/>
    <w:rsid w:val="00905460"/>
    <w:rsid w:val="00916770"/>
    <w:rsid w:val="009362B7"/>
    <w:rsid w:val="009651AB"/>
    <w:rsid w:val="00970B85"/>
    <w:rsid w:val="00971C57"/>
    <w:rsid w:val="009759A9"/>
    <w:rsid w:val="00991B70"/>
    <w:rsid w:val="0099481E"/>
    <w:rsid w:val="009B4E97"/>
    <w:rsid w:val="009B7A14"/>
    <w:rsid w:val="009C659A"/>
    <w:rsid w:val="009E12CD"/>
    <w:rsid w:val="00A06A46"/>
    <w:rsid w:val="00A14827"/>
    <w:rsid w:val="00A17A83"/>
    <w:rsid w:val="00A21EE6"/>
    <w:rsid w:val="00A458BE"/>
    <w:rsid w:val="00A50A14"/>
    <w:rsid w:val="00A525BA"/>
    <w:rsid w:val="00A6194C"/>
    <w:rsid w:val="00A72CBB"/>
    <w:rsid w:val="00A8229D"/>
    <w:rsid w:val="00A8555E"/>
    <w:rsid w:val="00AB5288"/>
    <w:rsid w:val="00AB7354"/>
    <w:rsid w:val="00AD09B8"/>
    <w:rsid w:val="00AD624B"/>
    <w:rsid w:val="00AD7DC4"/>
    <w:rsid w:val="00B276FD"/>
    <w:rsid w:val="00B36BD4"/>
    <w:rsid w:val="00B44CF7"/>
    <w:rsid w:val="00B45C8F"/>
    <w:rsid w:val="00B46A01"/>
    <w:rsid w:val="00B5123C"/>
    <w:rsid w:val="00B5133B"/>
    <w:rsid w:val="00B9369E"/>
    <w:rsid w:val="00BA0C92"/>
    <w:rsid w:val="00BA2901"/>
    <w:rsid w:val="00BA7FC5"/>
    <w:rsid w:val="00BB37FF"/>
    <w:rsid w:val="00BB64EE"/>
    <w:rsid w:val="00C01F66"/>
    <w:rsid w:val="00C10287"/>
    <w:rsid w:val="00C157AE"/>
    <w:rsid w:val="00C41A84"/>
    <w:rsid w:val="00C56D7F"/>
    <w:rsid w:val="00C604D0"/>
    <w:rsid w:val="00C72857"/>
    <w:rsid w:val="00C75263"/>
    <w:rsid w:val="00C76CCA"/>
    <w:rsid w:val="00C818B0"/>
    <w:rsid w:val="00C85E0F"/>
    <w:rsid w:val="00C86987"/>
    <w:rsid w:val="00C9561C"/>
    <w:rsid w:val="00C9692E"/>
    <w:rsid w:val="00CA040A"/>
    <w:rsid w:val="00CA1F58"/>
    <w:rsid w:val="00CC5F0E"/>
    <w:rsid w:val="00CD1E3D"/>
    <w:rsid w:val="00CD36A4"/>
    <w:rsid w:val="00CE4474"/>
    <w:rsid w:val="00CE66BE"/>
    <w:rsid w:val="00D021C2"/>
    <w:rsid w:val="00D02AE4"/>
    <w:rsid w:val="00D03699"/>
    <w:rsid w:val="00D04ADD"/>
    <w:rsid w:val="00D04BFC"/>
    <w:rsid w:val="00D23C92"/>
    <w:rsid w:val="00D51AC9"/>
    <w:rsid w:val="00D61D0C"/>
    <w:rsid w:val="00D80CA5"/>
    <w:rsid w:val="00D84338"/>
    <w:rsid w:val="00D85735"/>
    <w:rsid w:val="00DB7F3D"/>
    <w:rsid w:val="00DD0C66"/>
    <w:rsid w:val="00DD44DF"/>
    <w:rsid w:val="00DD7258"/>
    <w:rsid w:val="00DE5E29"/>
    <w:rsid w:val="00DE7019"/>
    <w:rsid w:val="00DF097C"/>
    <w:rsid w:val="00E038C5"/>
    <w:rsid w:val="00E14E2C"/>
    <w:rsid w:val="00E230A5"/>
    <w:rsid w:val="00E447AA"/>
    <w:rsid w:val="00E6600A"/>
    <w:rsid w:val="00EB4A16"/>
    <w:rsid w:val="00EB52E3"/>
    <w:rsid w:val="00EC0A0A"/>
    <w:rsid w:val="00EC5ABF"/>
    <w:rsid w:val="00ED1A92"/>
    <w:rsid w:val="00ED4323"/>
    <w:rsid w:val="00EE2460"/>
    <w:rsid w:val="00EF45CF"/>
    <w:rsid w:val="00EF7F33"/>
    <w:rsid w:val="00F03075"/>
    <w:rsid w:val="00F1333B"/>
    <w:rsid w:val="00F14B9F"/>
    <w:rsid w:val="00F367A4"/>
    <w:rsid w:val="00F506C6"/>
    <w:rsid w:val="00F81588"/>
    <w:rsid w:val="00F82D2D"/>
    <w:rsid w:val="00F9042F"/>
    <w:rsid w:val="00F9546B"/>
    <w:rsid w:val="00FC2155"/>
    <w:rsid w:val="00FD26E1"/>
    <w:rsid w:val="00FD5B36"/>
    <w:rsid w:val="00FF1BE9"/>
    <w:rsid w:val="00FF511C"/>
    <w:rsid w:val="7430C6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0C6A6"/>
  <w15:chartTrackingRefBased/>
  <w15:docId w15:val="{767EB9FE-83AD-4825-9470-9AAD6111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460"/>
    <w:pPr>
      <w:tabs>
        <w:tab w:val="center" w:pos="4153"/>
        <w:tab w:val="right" w:pos="8306"/>
      </w:tabs>
      <w:snapToGrid w:val="0"/>
    </w:pPr>
    <w:rPr>
      <w:sz w:val="20"/>
      <w:szCs w:val="20"/>
    </w:rPr>
  </w:style>
  <w:style w:type="character" w:customStyle="1" w:styleId="a4">
    <w:name w:val="頁首 字元"/>
    <w:basedOn w:val="a0"/>
    <w:link w:val="a3"/>
    <w:uiPriority w:val="99"/>
    <w:rsid w:val="00905460"/>
    <w:rPr>
      <w:sz w:val="20"/>
      <w:szCs w:val="20"/>
    </w:rPr>
  </w:style>
  <w:style w:type="paragraph" w:styleId="a5">
    <w:name w:val="footer"/>
    <w:basedOn w:val="a"/>
    <w:link w:val="a6"/>
    <w:uiPriority w:val="99"/>
    <w:unhideWhenUsed/>
    <w:rsid w:val="00905460"/>
    <w:pPr>
      <w:tabs>
        <w:tab w:val="center" w:pos="4153"/>
        <w:tab w:val="right" w:pos="8306"/>
      </w:tabs>
      <w:snapToGrid w:val="0"/>
    </w:pPr>
    <w:rPr>
      <w:sz w:val="20"/>
      <w:szCs w:val="20"/>
    </w:rPr>
  </w:style>
  <w:style w:type="character" w:customStyle="1" w:styleId="a6">
    <w:name w:val="頁尾 字元"/>
    <w:basedOn w:val="a0"/>
    <w:link w:val="a5"/>
    <w:uiPriority w:val="99"/>
    <w:rsid w:val="0090546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7047">
      <w:bodyDiv w:val="1"/>
      <w:marLeft w:val="0"/>
      <w:marRight w:val="0"/>
      <w:marTop w:val="0"/>
      <w:marBottom w:val="0"/>
      <w:divBdr>
        <w:top w:val="none" w:sz="0" w:space="0" w:color="auto"/>
        <w:left w:val="none" w:sz="0" w:space="0" w:color="auto"/>
        <w:bottom w:val="none" w:sz="0" w:space="0" w:color="auto"/>
        <w:right w:val="none" w:sz="0" w:space="0" w:color="auto"/>
      </w:divBdr>
    </w:div>
    <w:div w:id="761101358">
      <w:bodyDiv w:val="1"/>
      <w:marLeft w:val="0"/>
      <w:marRight w:val="0"/>
      <w:marTop w:val="0"/>
      <w:marBottom w:val="0"/>
      <w:divBdr>
        <w:top w:val="none" w:sz="0" w:space="0" w:color="auto"/>
        <w:left w:val="none" w:sz="0" w:space="0" w:color="auto"/>
        <w:bottom w:val="none" w:sz="0" w:space="0" w:color="auto"/>
        <w:right w:val="none" w:sz="0" w:space="0" w:color="auto"/>
      </w:divBdr>
    </w:div>
    <w:div w:id="98593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B178F1134256EB488C28BC61C245C831" ma:contentTypeVersion="4" ma:contentTypeDescription="建立新的文件。" ma:contentTypeScope="" ma:versionID="46b92761cde6cbf760173abf9399fd73">
  <xsd:schema xmlns:xsd="http://www.w3.org/2001/XMLSchema" xmlns:xs="http://www.w3.org/2001/XMLSchema" xmlns:p="http://schemas.microsoft.com/office/2006/metadata/properties" xmlns:ns3="d6c6c267-0329-49f9-b656-4d4b3f02dcbf" targetNamespace="http://schemas.microsoft.com/office/2006/metadata/properties" ma:root="true" ma:fieldsID="fba250c92fdb63a99047cec555bc8ac3" ns3:_="">
    <xsd:import namespace="d6c6c267-0329-49f9-b656-4d4b3f02dc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6c267-0329-49f9-b656-4d4b3f02dc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B3BE7B-E37E-4B87-B139-4D11C5FE5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6c267-0329-49f9-b656-4d4b3f02d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E37121-AB05-4499-8448-D3941251E012}">
  <ds:schemaRefs>
    <ds:schemaRef ds:uri="http://schemas.microsoft.com/sharepoint/v3/contenttype/forms"/>
  </ds:schemaRefs>
</ds:datastoreItem>
</file>

<file path=customXml/itemProps3.xml><?xml version="1.0" encoding="utf-8"?>
<ds:datastoreItem xmlns:ds="http://schemas.openxmlformats.org/officeDocument/2006/customXml" ds:itemID="{03DE5DD8-60DE-4F93-A097-1D033D200C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106007202</dc:creator>
  <cp:keywords/>
  <dc:description/>
  <cp:lastModifiedBy>仕禮 洪</cp:lastModifiedBy>
  <cp:revision>17</cp:revision>
  <dcterms:created xsi:type="dcterms:W3CDTF">2024-04-23T02:34:00Z</dcterms:created>
  <dcterms:modified xsi:type="dcterms:W3CDTF">2025-02-27T05:32:00Z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0x010100B178F1134256EB488C28BC61C245C831</vt:lpwstr>
  </property>
</Properties>
</file>